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_GBK" w:hAnsi="华文中宋" w:eastAsia="方正小标宋_GBK" w:cs="方正小标宋_GBK"/>
          <w:b/>
          <w:color w:val="FF0000"/>
          <w:w w:val="90"/>
          <w:sz w:val="120"/>
          <w:szCs w:val="120"/>
        </w:rPr>
      </w:pPr>
      <w:r>
        <w:rPr>
          <w:rFonts w:hint="eastAsia" w:ascii="方正小标宋_GBK" w:hAnsi="华文中宋" w:eastAsia="方正小标宋_GBK" w:cs="方正小标宋_GBK"/>
          <w:b/>
          <w:color w:val="FF0000"/>
          <w:w w:val="90"/>
          <w:sz w:val="120"/>
          <w:szCs w:val="120"/>
        </w:rPr>
        <w:t>青铜峡旅游信息</w:t>
      </w:r>
    </w:p>
    <w:p>
      <w:pPr>
        <w:rPr>
          <w:rFonts w:ascii="仿宋_GB2312" w:eastAsia="仿宋_GB2312" w:cs="仿宋_GB2312"/>
          <w:b/>
          <w:sz w:val="32"/>
          <w:szCs w:val="32"/>
        </w:rPr>
      </w:pPr>
    </w:p>
    <w:p>
      <w:pPr>
        <w:ind w:firstLine="320" w:firstLineChars="100"/>
        <w:jc w:val="center"/>
        <w:rPr>
          <w:rFonts w:ascii="仿宋_GB2312" w:eastAsia="仿宋_GB2312" w:cs="仿宋_GB2312"/>
          <w:sz w:val="32"/>
          <w:szCs w:val="32"/>
        </w:rPr>
      </w:pPr>
      <w:r>
        <w:rPr>
          <w:rFonts w:hint="eastAsia" w:ascii="仿宋_GB2312" w:hAnsi="Times New Roman" w:eastAsia="仿宋_GB2312" w:cs="仿宋_GB2312"/>
          <w:sz w:val="32"/>
          <w:szCs w:val="32"/>
        </w:rPr>
        <w:t>第</w:t>
      </w:r>
      <w:r>
        <w:rPr>
          <w:rFonts w:hint="eastAsia" w:ascii="仿宋_GB2312" w:hAnsi="Times New Roman" w:eastAsia="仿宋_GB2312" w:cs="仿宋_GB2312"/>
          <w:sz w:val="32"/>
          <w:szCs w:val="32"/>
          <w:lang w:val="en-US" w:eastAsia="zh-CN"/>
        </w:rPr>
        <w:t>16</w:t>
      </w:r>
      <w:r>
        <w:rPr>
          <w:rFonts w:hint="eastAsia" w:ascii="仿宋_GB2312" w:hAnsi="Times New Roman" w:eastAsia="仿宋_GB2312" w:cs="仿宋_GB2312"/>
          <w:sz w:val="32"/>
          <w:szCs w:val="32"/>
        </w:rPr>
        <w:t>期</w:t>
      </w:r>
    </w:p>
    <w:p>
      <w:pPr>
        <w:spacing w:line="660" w:lineRule="exact"/>
        <w:jc w:val="both"/>
        <w:rPr>
          <w:rFonts w:ascii="方正小标宋_GBK" w:hAnsi="方正小标宋_GBK" w:eastAsia="方正小标宋_GBK" w:cs="方正小标宋_GBK"/>
          <w:sz w:val="44"/>
          <w:szCs w:val="44"/>
        </w:rPr>
      </w:pPr>
      <w:r>
        <w:rPr>
          <w:rFonts w:hint="eastAsia" w:ascii="仿宋_GB2312" w:hAnsi="Times New Roman" w:eastAsia="仿宋_GB2312"/>
          <w:sz w:val="32"/>
          <w:szCs w:val="32"/>
          <w:u w:val="thick" w:color="FF0000"/>
        </w:rPr>
        <w:t>青铜峡市</w:t>
      </w:r>
      <w:r>
        <w:rPr>
          <w:rFonts w:hint="eastAsia" w:ascii="仿宋_GB2312" w:hAnsi="Times New Roman" w:eastAsia="仿宋_GB2312"/>
          <w:sz w:val="32"/>
          <w:szCs w:val="32"/>
          <w:u w:val="thick" w:color="FF0000"/>
          <w:lang w:eastAsia="zh-CN"/>
        </w:rPr>
        <w:t>文化</w:t>
      </w:r>
      <w:r>
        <w:rPr>
          <w:rFonts w:hint="eastAsia" w:ascii="仿宋_GB2312" w:hAnsi="Times New Roman" w:eastAsia="仿宋_GB2312"/>
          <w:sz w:val="32"/>
          <w:szCs w:val="32"/>
          <w:u w:val="thick" w:color="FF0000"/>
        </w:rPr>
        <w:t>旅游</w:t>
      </w:r>
      <w:r>
        <w:rPr>
          <w:rFonts w:hint="eastAsia" w:ascii="仿宋_GB2312" w:hAnsi="Times New Roman" w:eastAsia="仿宋_GB2312"/>
          <w:sz w:val="32"/>
          <w:szCs w:val="32"/>
          <w:u w:val="thick" w:color="FF0000"/>
          <w:lang w:eastAsia="zh-CN"/>
        </w:rPr>
        <w:t>体育广电</w:t>
      </w:r>
      <w:r>
        <w:rPr>
          <w:rFonts w:hint="eastAsia" w:ascii="仿宋_GB2312" w:hAnsi="Times New Roman" w:eastAsia="仿宋_GB2312"/>
          <w:sz w:val="32"/>
          <w:szCs w:val="32"/>
          <w:u w:val="thick" w:color="FF0000"/>
        </w:rPr>
        <w:t>局</w:t>
      </w:r>
      <w:r>
        <w:rPr>
          <w:rFonts w:ascii="仿宋_GB2312" w:hAnsi="Times New Roman" w:eastAsia="仿宋_GB2312"/>
          <w:sz w:val="32"/>
          <w:szCs w:val="32"/>
          <w:u w:val="thick" w:color="FF0000"/>
        </w:rPr>
        <w:t xml:space="preserve">           201</w:t>
      </w:r>
      <w:r>
        <w:rPr>
          <w:rFonts w:hint="eastAsia" w:ascii="仿宋_GB2312" w:hAnsi="Times New Roman" w:eastAsia="仿宋_GB2312"/>
          <w:sz w:val="32"/>
          <w:szCs w:val="32"/>
          <w:u w:val="thick" w:color="FF0000"/>
          <w:lang w:val="en-US" w:eastAsia="zh-CN"/>
        </w:rPr>
        <w:t>9</w:t>
      </w:r>
      <w:r>
        <w:rPr>
          <w:rFonts w:hint="eastAsia" w:ascii="仿宋_GB2312" w:hAnsi="Times New Roman" w:eastAsia="仿宋_GB2312"/>
          <w:sz w:val="32"/>
          <w:szCs w:val="32"/>
          <w:u w:val="thick" w:color="FF0000"/>
        </w:rPr>
        <w:t>年</w:t>
      </w:r>
      <w:r>
        <w:rPr>
          <w:rFonts w:hint="eastAsia" w:ascii="仿宋_GB2312" w:hAnsi="Times New Roman" w:eastAsia="仿宋_GB2312"/>
          <w:sz w:val="32"/>
          <w:szCs w:val="32"/>
          <w:u w:val="thick" w:color="FF0000"/>
          <w:lang w:val="en-US" w:eastAsia="zh-CN"/>
        </w:rPr>
        <w:t>4</w:t>
      </w:r>
      <w:r>
        <w:rPr>
          <w:rFonts w:hint="eastAsia" w:ascii="仿宋_GB2312" w:hAnsi="Times New Roman" w:eastAsia="仿宋_GB2312"/>
          <w:sz w:val="32"/>
          <w:szCs w:val="32"/>
          <w:u w:val="thick" w:color="FF0000"/>
        </w:rPr>
        <w:t>月</w:t>
      </w:r>
      <w:r>
        <w:rPr>
          <w:rFonts w:hint="eastAsia" w:ascii="仿宋_GB2312" w:hAnsi="Times New Roman" w:eastAsia="仿宋_GB2312"/>
          <w:sz w:val="32"/>
          <w:szCs w:val="32"/>
          <w:u w:val="thick" w:color="FF0000"/>
          <w:lang w:val="en-US" w:eastAsia="zh-CN"/>
        </w:rPr>
        <w:t>30</w:t>
      </w:r>
      <w:r>
        <w:rPr>
          <w:rFonts w:hint="eastAsia" w:ascii="仿宋_GB2312" w:hAnsi="Times New Roman" w:eastAsia="仿宋_GB2312"/>
          <w:sz w:val="32"/>
          <w:szCs w:val="32"/>
          <w:u w:val="thick" w:color="FF0000"/>
        </w:rPr>
        <w:t>日</w:t>
      </w:r>
    </w:p>
    <w:p>
      <w:pPr>
        <w:keepNext w:val="0"/>
        <w:keepLines w:val="0"/>
        <w:pageBreakBefore w:val="0"/>
        <w:widowControl w:val="0"/>
        <w:kinsoku/>
        <w:wordWrap/>
        <w:overflowPunct/>
        <w:topLinePunct w:val="0"/>
        <w:autoSpaceDE/>
        <w:autoSpaceDN/>
        <w:bidi w:val="0"/>
        <w:adjustRightInd/>
        <w:snapToGrid/>
        <w:spacing w:line="660" w:lineRule="exact"/>
        <w:ind w:left="0" w:leftChars="0" w:right="0" w:rightChars="0" w:firstLine="0" w:firstLineChars="0"/>
        <w:jc w:val="center"/>
        <w:textAlignment w:val="auto"/>
        <w:outlineLvl w:val="9"/>
        <w:rPr>
          <w:rFonts w:hint="eastAsia" w:ascii="方正小标宋_GBK" w:hAnsi="方正小标宋_GBK" w:eastAsia="方正小标宋_GBK" w:cs="方正小标宋_GBK"/>
          <w:sz w:val="44"/>
          <w:szCs w:val="44"/>
          <w:lang w:val="en-US" w:eastAsia="zh-CN"/>
        </w:rPr>
      </w:pPr>
      <w:r>
        <w:rPr>
          <w:rFonts w:hint="eastAsia" w:ascii="方正小标宋_GBK" w:hAnsi="方正小标宋_GBK" w:eastAsia="方正小标宋_GBK" w:cs="方正小标宋_GBK"/>
          <w:sz w:val="44"/>
          <w:szCs w:val="44"/>
          <w:lang w:val="en-US" w:eastAsia="zh-CN"/>
        </w:rPr>
        <w:t>我市旅游集散中心正式投入运营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both"/>
        <w:textAlignment w:val="auto"/>
        <w:outlineLvl w:val="9"/>
        <w:rPr>
          <w:rFonts w:hint="default" w:ascii="仿宋_GB2312" w:eastAsia="仿宋_GB2312" w:cs="方正仿宋_GBK"/>
          <w:sz w:val="32"/>
          <w:szCs w:val="32"/>
          <w:lang w:val="en-US" w:eastAsia="zh-CN"/>
        </w:rPr>
      </w:pPr>
      <w:r>
        <w:rPr>
          <w:rFonts w:hint="eastAsia" w:ascii="方正仿宋_GBK" w:hAnsi="方正仿宋_GBK" w:eastAsia="方正仿宋_GBK" w:cs="方正仿宋_GBK"/>
          <w:sz w:val="32"/>
          <w:szCs w:val="32"/>
          <w:lang w:val="en-US" w:eastAsia="zh-CN"/>
        </w:rPr>
        <w:t>4月30日，我市旅游集散中心正式投入运营，</w:t>
      </w:r>
      <w:r>
        <w:rPr>
          <w:rFonts w:hint="eastAsia" w:ascii="仿宋_GB2312" w:eastAsia="仿宋_GB2312" w:cs="方正仿宋_GBK"/>
          <w:sz w:val="32"/>
          <w:szCs w:val="32"/>
          <w:lang w:val="en-US" w:eastAsia="zh-CN"/>
        </w:rPr>
        <w:t>集散中心开始运营后，将成为我市</w:t>
      </w:r>
      <w:r>
        <w:rPr>
          <w:rFonts w:hint="default" w:ascii="仿宋_GB2312" w:eastAsia="仿宋_GB2312" w:cs="方正仿宋_GBK"/>
          <w:sz w:val="32"/>
          <w:szCs w:val="32"/>
          <w:lang w:val="en-US" w:eastAsia="zh-CN"/>
        </w:rPr>
        <w:t>规模最大的</w:t>
      </w:r>
      <w:r>
        <w:rPr>
          <w:rFonts w:hint="eastAsia" w:ascii="仿宋_GB2312" w:eastAsia="仿宋_GB2312" w:cs="方正仿宋_GBK"/>
          <w:sz w:val="32"/>
          <w:szCs w:val="32"/>
          <w:lang w:val="en-US" w:eastAsia="zh-CN"/>
        </w:rPr>
        <w:t>旅游客源集散地，实现</w:t>
      </w:r>
      <w:r>
        <w:rPr>
          <w:rFonts w:hint="default" w:ascii="仿宋_GB2312" w:eastAsia="仿宋_GB2312" w:cs="方正仿宋_GBK"/>
          <w:sz w:val="32"/>
          <w:szCs w:val="32"/>
          <w:lang w:val="en-US" w:eastAsia="zh-CN"/>
        </w:rPr>
        <w:t>游客统一接待、统一分流</w:t>
      </w:r>
      <w:r>
        <w:rPr>
          <w:rFonts w:hint="eastAsia" w:ascii="仿宋_GB2312" w:eastAsia="仿宋_GB2312" w:cs="方正仿宋_GBK"/>
          <w:sz w:val="32"/>
          <w:szCs w:val="32"/>
          <w:lang w:val="en-US" w:eastAsia="zh-CN"/>
        </w:rPr>
        <w:t>，同时为来青游客提供</w:t>
      </w:r>
      <w:r>
        <w:rPr>
          <w:rFonts w:hint="default" w:ascii="仿宋_GB2312" w:eastAsia="仿宋_GB2312" w:cs="方正仿宋_GBK"/>
          <w:sz w:val="32"/>
          <w:szCs w:val="32"/>
          <w:lang w:val="en-US" w:eastAsia="zh-CN"/>
        </w:rPr>
        <w:t>自助旅游、单位</w:t>
      </w:r>
      <w:r>
        <w:rPr>
          <w:rFonts w:hint="default" w:ascii="仿宋_GB2312" w:eastAsia="仿宋_GB2312" w:cs="方正仿宋_GBK"/>
          <w:sz w:val="32"/>
          <w:szCs w:val="32"/>
          <w:lang w:val="en-US" w:eastAsia="zh-CN"/>
        </w:rPr>
        <w:fldChar w:fldCharType="begin"/>
      </w:r>
      <w:r>
        <w:rPr>
          <w:rFonts w:hint="default" w:ascii="仿宋_GB2312" w:eastAsia="仿宋_GB2312" w:cs="方正仿宋_GBK"/>
          <w:sz w:val="32"/>
          <w:szCs w:val="32"/>
          <w:lang w:val="en-US" w:eastAsia="zh-CN"/>
        </w:rPr>
        <w:instrText xml:space="preserve"> HYPERLINK "https://baike.so.com/doc/3790688-3981559.html" \t "https://baike.so.com/doc/_blank" </w:instrText>
      </w:r>
      <w:r>
        <w:rPr>
          <w:rFonts w:hint="default" w:ascii="仿宋_GB2312" w:eastAsia="仿宋_GB2312" w:cs="方正仿宋_GBK"/>
          <w:sz w:val="32"/>
          <w:szCs w:val="32"/>
          <w:lang w:val="en-US" w:eastAsia="zh-CN"/>
        </w:rPr>
        <w:fldChar w:fldCharType="separate"/>
      </w:r>
      <w:r>
        <w:rPr>
          <w:rFonts w:hint="default" w:ascii="仿宋_GB2312" w:eastAsia="仿宋_GB2312" w:cs="方正仿宋_GBK"/>
          <w:sz w:val="32"/>
          <w:szCs w:val="32"/>
          <w:lang w:val="en-US" w:eastAsia="zh-CN"/>
        </w:rPr>
        <w:t>团队旅游</w:t>
      </w:r>
      <w:r>
        <w:rPr>
          <w:rFonts w:hint="default" w:ascii="仿宋_GB2312" w:eastAsia="仿宋_GB2312" w:cs="方正仿宋_GBK"/>
          <w:sz w:val="32"/>
          <w:szCs w:val="32"/>
          <w:lang w:val="en-US" w:eastAsia="zh-CN"/>
        </w:rPr>
        <w:fldChar w:fldCharType="end"/>
      </w:r>
      <w:r>
        <w:rPr>
          <w:rFonts w:hint="default" w:ascii="仿宋_GB2312" w:eastAsia="仿宋_GB2312" w:cs="方正仿宋_GBK"/>
          <w:sz w:val="32"/>
          <w:szCs w:val="32"/>
          <w:lang w:val="en-US" w:eastAsia="zh-CN"/>
        </w:rPr>
        <w:t>、旅游信息咨询、旅游集散换乘、客房预订、票务预订</w:t>
      </w:r>
      <w:r>
        <w:rPr>
          <w:rFonts w:hint="eastAsia" w:ascii="仿宋_GB2312" w:eastAsia="仿宋_GB2312" w:cs="方正仿宋_GBK"/>
          <w:sz w:val="32"/>
          <w:szCs w:val="32"/>
          <w:lang w:val="en-US" w:eastAsia="zh-CN"/>
        </w:rPr>
        <w:t>等多方面</w:t>
      </w:r>
      <w:r>
        <w:rPr>
          <w:rFonts w:hint="default" w:ascii="仿宋_GB2312" w:eastAsia="仿宋_GB2312" w:cs="方正仿宋_GBK"/>
          <w:sz w:val="32"/>
          <w:szCs w:val="32"/>
          <w:lang w:val="en-US" w:eastAsia="zh-CN"/>
        </w:rPr>
        <w:t>综合性</w:t>
      </w:r>
      <w:r>
        <w:rPr>
          <w:rFonts w:hint="eastAsia" w:ascii="仿宋_GB2312" w:eastAsia="仿宋_GB2312" w:cs="方正仿宋_GBK"/>
          <w:sz w:val="32"/>
          <w:szCs w:val="32"/>
          <w:lang w:val="en-US" w:eastAsia="zh-CN"/>
        </w:rPr>
        <w:t>服务，成为我市旅游产业服务提升的形象窗口</w:t>
      </w:r>
      <w:r>
        <w:rPr>
          <w:rFonts w:hint="default" w:ascii="仿宋_GB2312" w:eastAsia="仿宋_GB2312" w:cs="方正仿宋_GBK"/>
          <w:sz w:val="32"/>
          <w:szCs w:val="32"/>
          <w:lang w:val="en-US" w:eastAsia="zh-CN"/>
        </w:rPr>
        <w:t>。</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default" w:ascii="仿宋_GB2312" w:eastAsia="仿宋_GB2312" w:cs="方正仿宋_GBK"/>
          <w:sz w:val="32"/>
          <w:szCs w:val="32"/>
          <w:lang w:val="en-US" w:eastAsia="zh-CN"/>
        </w:rPr>
      </w:pPr>
      <w:r>
        <w:rPr>
          <w:rFonts w:hint="default" w:ascii="仿宋_GB2312" w:eastAsia="仿宋_GB2312" w:cs="方正仿宋_GBK"/>
          <w:sz w:val="32"/>
          <w:szCs w:val="32"/>
          <w:lang w:val="en-US" w:eastAsia="zh-CN"/>
        </w:rPr>
        <w:pict>
          <v:shape id="_x0000_i1025" o:spt="75" alt="IMG_0575" type="#_x0000_t75" style="height:269.8pt;width:404.6pt;" filled="f" o:preferrelative="t" stroked="f" coordsize="21600,21600">
            <v:path/>
            <v:fill on="f" focussize="0,0"/>
            <v:stroke on="f"/>
            <v:imagedata r:id="rId4" o:title=""/>
            <o:lock v:ext="edit" aspectratio="t"/>
            <w10:wrap type="none"/>
            <w10:anchorlock/>
          </v:shape>
        </w:pic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default" w:ascii="仿宋_GB2312" w:eastAsia="仿宋_GB2312" w:cs="方正仿宋_GBK"/>
          <w:sz w:val="32"/>
          <w:szCs w:val="32"/>
          <w:lang w:val="en-US" w:eastAsia="zh-CN"/>
        </w:rPr>
      </w:pPr>
      <w:r>
        <w:rPr>
          <w:rFonts w:hint="default" w:ascii="仿宋_GB2312" w:eastAsia="仿宋_GB2312" w:cs="方正仿宋_GBK"/>
          <w:sz w:val="32"/>
          <w:szCs w:val="32"/>
          <w:lang w:val="en-US" w:eastAsia="zh-CN"/>
        </w:rPr>
        <w:pict>
          <v:shape id="_x0000_i1026" o:spt="75" alt="IMG_0580" type="#_x0000_t75" style="height:225.35pt;width:337.95pt;" filled="f" o:preferrelative="t" stroked="f" coordsize="21600,21600">
            <v:path/>
            <v:fill on="f" focussize="0,0"/>
            <v:stroke on="f"/>
            <v:imagedata r:id="rId5" o:title=""/>
            <o:lock v:ext="edit" aspectratio="t"/>
            <w10:wrap type="none"/>
            <w10:anchorlock/>
          </v:shape>
        </w:pict>
      </w:r>
      <w:r>
        <w:rPr>
          <w:rFonts w:hint="default" w:ascii="仿宋_GB2312" w:eastAsia="仿宋_GB2312" w:cs="方正仿宋_GBK"/>
          <w:sz w:val="32"/>
          <w:szCs w:val="32"/>
          <w:lang w:val="en-US" w:eastAsia="zh-CN"/>
        </w:rPr>
        <w:pict>
          <v:shape id="_x0000_i1027" o:spt="75" alt="IMG_0583" type="#_x0000_t75" style="height:226.5pt;width:339.7pt;" filled="f" o:preferrelative="t" stroked="f" coordsize="21600,21600">
            <v:path/>
            <v:fill on="f" focussize="0,0"/>
            <v:stroke on="f"/>
            <v:imagedata r:id="rId6" o:title=""/>
            <o:lock v:ext="edit" aspectratio="t"/>
            <w10:wrap type="none"/>
            <w10:anchorlock/>
          </v:shape>
        </w:pic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40" w:lineRule="exact"/>
        <w:ind w:left="0" w:leftChars="0" w:right="0" w:rightChars="0" w:firstLine="480" w:firstLineChars="200"/>
        <w:jc w:val="both"/>
        <w:textAlignment w:val="auto"/>
        <w:outlineLvl w:val="9"/>
        <w:rPr>
          <w:rFonts w:hint="eastAsia" w:ascii="仿宋_GB2312" w:eastAsia="仿宋_GB2312" w:cs="方正仿宋_GBK"/>
          <w:sz w:val="32"/>
          <w:szCs w:val="32"/>
          <w:lang w:val="en-US" w:eastAsia="zh-CN"/>
        </w:rPr>
      </w:pPr>
      <w:r>
        <w:rPr>
          <w:rFonts w:hint="eastAsia"/>
          <w:lang w:val="en-US" w:eastAsia="zh-CN"/>
        </w:rPr>
        <w:t xml:space="preserve">  </w:t>
      </w:r>
      <w:r>
        <w:rPr>
          <w:rFonts w:hint="eastAsia" w:ascii="仿宋_GB2312" w:eastAsia="仿宋_GB2312" w:cs="方正仿宋_GBK"/>
          <w:sz w:val="32"/>
          <w:szCs w:val="32"/>
          <w:lang w:val="en-US" w:eastAsia="zh-CN"/>
        </w:rPr>
        <w:t>按照创建国家全域旅游示范区的要求和市委、政府2018年旅游重点工作的安排部署，市文化旅游体育广电局规划实施了“青铜峡市</w:t>
      </w:r>
      <w:r>
        <w:rPr>
          <w:rFonts w:hint="eastAsia" w:ascii="仿宋_GB2312" w:eastAsia="仿宋_GB2312" w:cs="方正仿宋_GBK"/>
          <w:sz w:val="32"/>
          <w:szCs w:val="32"/>
          <w:lang w:val="en-US" w:eastAsia="zh-CN"/>
        </w:rPr>
        <w:fldChar w:fldCharType="begin"/>
      </w:r>
      <w:r>
        <w:rPr>
          <w:rFonts w:hint="eastAsia" w:ascii="仿宋_GB2312" w:eastAsia="仿宋_GB2312" w:cs="方正仿宋_GBK"/>
          <w:sz w:val="32"/>
          <w:szCs w:val="32"/>
          <w:lang w:val="en-US" w:eastAsia="zh-CN"/>
        </w:rPr>
        <w:instrText xml:space="preserve"> HYPERLINK "https://baike.so.com/doc/1522961-1610069.html" \t "https://baike.so.com/doc/_blank" </w:instrText>
      </w:r>
      <w:r>
        <w:rPr>
          <w:rFonts w:hint="eastAsia" w:ascii="仿宋_GB2312" w:eastAsia="仿宋_GB2312" w:cs="方正仿宋_GBK"/>
          <w:sz w:val="32"/>
          <w:szCs w:val="32"/>
          <w:lang w:val="en-US" w:eastAsia="zh-CN"/>
        </w:rPr>
        <w:fldChar w:fldCharType="separate"/>
      </w:r>
      <w:r>
        <w:rPr>
          <w:rFonts w:hint="default" w:ascii="仿宋_GB2312" w:eastAsia="仿宋_GB2312" w:cs="方正仿宋_GBK"/>
          <w:sz w:val="32"/>
          <w:szCs w:val="32"/>
          <w:lang w:val="en-US" w:eastAsia="zh-CN"/>
        </w:rPr>
        <w:t>旅游集散</w:t>
      </w:r>
      <w:r>
        <w:rPr>
          <w:rFonts w:hint="default" w:ascii="仿宋_GB2312" w:eastAsia="仿宋_GB2312" w:cs="方正仿宋_GBK"/>
          <w:sz w:val="32"/>
          <w:szCs w:val="32"/>
          <w:lang w:val="en-US" w:eastAsia="zh-CN"/>
        </w:rPr>
        <w:fldChar w:fldCharType="end"/>
      </w:r>
      <w:r>
        <w:rPr>
          <w:rFonts w:hint="default" w:ascii="仿宋_GB2312" w:eastAsia="仿宋_GB2312" w:cs="方正仿宋_GBK"/>
          <w:sz w:val="32"/>
          <w:szCs w:val="32"/>
          <w:lang w:val="en-US" w:eastAsia="zh-CN"/>
        </w:rPr>
        <w:t>中心</w:t>
      </w:r>
      <w:r>
        <w:rPr>
          <w:rFonts w:hint="eastAsia" w:ascii="仿宋_GB2312" w:eastAsia="仿宋_GB2312" w:cs="方正仿宋_GBK"/>
          <w:sz w:val="32"/>
          <w:szCs w:val="32"/>
          <w:lang w:val="en-US" w:eastAsia="zh-CN"/>
        </w:rPr>
        <w:t>”工程。该项目位于</w:t>
      </w:r>
      <w:r>
        <w:rPr>
          <w:rFonts w:hint="default" w:ascii="仿宋_GB2312" w:eastAsia="仿宋_GB2312" w:cs="方正仿宋_GBK"/>
          <w:sz w:val="32"/>
          <w:szCs w:val="32"/>
          <w:lang w:val="en-US" w:eastAsia="zh-CN"/>
        </w:rPr>
        <w:t>黄河文化体育会展中心</w:t>
      </w:r>
      <w:r>
        <w:rPr>
          <w:rFonts w:hint="eastAsia" w:ascii="仿宋_GB2312" w:eastAsia="仿宋_GB2312" w:cs="方正仿宋_GBK"/>
          <w:sz w:val="32"/>
          <w:szCs w:val="32"/>
          <w:lang w:val="en-US" w:eastAsia="zh-CN"/>
        </w:rPr>
        <w:t>体育场东看台下商业用房内，建筑面积2047平方米，其中1600平方米建设青铜峡市旅游集散中心，447平方米为青铜峡市旅游营销中心和旅游商品超市。旅游集散中心内设有旅游形象展示中心、旅游咨询服务中心、旅游票务中心、智慧旅游调度中心、旅游管理中心等功能区。</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仿宋_GB2312" w:eastAsia="仿宋_GB2312" w:cs="方正仿宋_GBK"/>
          <w:sz w:val="32"/>
          <w:szCs w:val="32"/>
          <w:lang w:val="en-US" w:eastAsia="zh-CN"/>
        </w:rPr>
      </w:pPr>
      <w:r>
        <w:rPr>
          <w:rFonts w:hint="eastAsia" w:ascii="仿宋_GB2312" w:eastAsia="仿宋_GB2312" w:cs="方正仿宋_GBK"/>
          <w:sz w:val="32"/>
          <w:szCs w:val="32"/>
          <w:lang w:val="en-US" w:eastAsia="zh-CN"/>
        </w:rPr>
        <w:pict>
          <v:shape id="_x0000_i1028" o:spt="75" alt="IMG_0560" type="#_x0000_t75" style="height:237.85pt;width:356.75pt;" filled="f" o:preferrelative="t" stroked="f" coordsize="21600,21600">
            <v:path/>
            <v:fill on="f" focussize="0,0"/>
            <v:stroke on="f"/>
            <v:imagedata r:id="rId7" o:title=""/>
            <o:lock v:ext="edit" aspectratio="t"/>
            <w10:wrap type="none"/>
            <w10:anchorlock/>
          </v:shape>
        </w:pic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仿宋_GB2312" w:eastAsia="仿宋_GB2312" w:cs="方正仿宋_GBK"/>
          <w:sz w:val="32"/>
          <w:szCs w:val="32"/>
          <w:lang w:val="en-US" w:eastAsia="zh-CN"/>
        </w:rPr>
      </w:pPr>
      <w:r>
        <w:rPr>
          <w:rFonts w:hint="eastAsia" w:ascii="仿宋_GB2312" w:eastAsia="仿宋_GB2312" w:cs="方正仿宋_GBK"/>
          <w:sz w:val="32"/>
          <w:szCs w:val="32"/>
          <w:lang w:val="en-US" w:eastAsia="zh-CN"/>
        </w:rPr>
        <w:pict>
          <v:shape id="_x0000_i1029" o:spt="75" alt="IMG_0567" type="#_x0000_t75" style="height:238.75pt;width:358.05pt;" filled="f" o:preferrelative="t" stroked="f" coordsize="21600,21600">
            <v:path/>
            <v:fill on="f" focussize="0,0"/>
            <v:stroke on="f"/>
            <v:imagedata r:id="rId8" o:title=""/>
            <o:lock v:ext="edit" aspectratio="t"/>
            <w10:wrap type="none"/>
            <w10:anchorlock/>
          </v:shape>
        </w:pic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40" w:lineRule="exact"/>
        <w:ind w:left="0" w:leftChars="0" w:right="0" w:rightChars="0" w:firstLine="640" w:firstLineChars="200"/>
        <w:jc w:val="both"/>
        <w:textAlignment w:val="auto"/>
        <w:outlineLvl w:val="9"/>
        <w:rPr>
          <w:rFonts w:hint="eastAsia" w:ascii="仿宋_GB2312" w:eastAsia="仿宋_GB2312" w:cs="方正仿宋_GBK"/>
          <w:sz w:val="32"/>
          <w:szCs w:val="32"/>
          <w:lang w:val="en-US" w:eastAsia="zh-CN"/>
        </w:rPr>
      </w:pPr>
      <w:r>
        <w:rPr>
          <w:rFonts w:hint="eastAsia" w:ascii="仿宋_GB2312" w:eastAsia="仿宋_GB2312" w:cs="方正仿宋_GBK"/>
          <w:sz w:val="32"/>
          <w:szCs w:val="32"/>
          <w:lang w:val="en-US" w:eastAsia="zh-CN"/>
        </w:rPr>
        <w:t>4月30日上午，市政府副市长张克文对青铜峡市旅游集散中心运营工作进行了现场调研，并就该中心智慧旅游管理、服务游客交通线路等方面问题提出了具体要求。张克文与市文化旅游体育广电局负责人、景区和旅行社代表共同为为旅游集散中心运营揭牌。当天来我市旅游的数百位游客一同参与了揭牌仪式。</w:t>
      </w:r>
    </w:p>
    <w:p>
      <w:pPr>
        <w:keepNext w:val="0"/>
        <w:keepLines w:val="0"/>
        <w:pageBreakBefore w:val="0"/>
        <w:kinsoku/>
        <w:wordWrap/>
        <w:overflowPunct/>
        <w:topLinePunct w:val="0"/>
        <w:autoSpaceDE/>
        <w:autoSpaceDN/>
        <w:bidi w:val="0"/>
        <w:adjustRightInd/>
        <w:snapToGrid/>
        <w:spacing w:line="540" w:lineRule="exact"/>
        <w:ind w:left="0" w:leftChars="0" w:right="0" w:rightChars="0"/>
        <w:jc w:val="both"/>
        <w:textAlignment w:val="auto"/>
        <w:rPr>
          <w:rFonts w:hint="eastAsia" w:ascii="仿宋_GB2312" w:hAnsi="Times New Roman" w:eastAsia="仿宋_GB2312"/>
          <w:sz w:val="32"/>
          <w:szCs w:val="32"/>
          <w:u w:val="none" w:color="auto"/>
          <w:lang w:val="en-US"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方正小标宋_GBK">
    <w:panose1 w:val="03000509000000000000"/>
    <w:charset w:val="86"/>
    <w:family w:val="script"/>
    <w:pitch w:val="default"/>
    <w:sig w:usb0="00000001" w:usb1="080E0000" w:usb2="00000000" w:usb3="00000000" w:csb0="00040000" w:csb1="00000000"/>
  </w:font>
  <w:font w:name="华文中宋">
    <w:altName w:val="宋体"/>
    <w:panose1 w:val="00000000000000000000"/>
    <w:charset w:val="86"/>
    <w:family w:val="auto"/>
    <w:pitch w:val="default"/>
    <w:sig w:usb0="00000000" w:usb1="00000000" w:usb2="00000010" w:usb3="00000000" w:csb0="0004009F"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47A84"/>
    <w:rsid w:val="001C2154"/>
    <w:rsid w:val="00A6630B"/>
    <w:rsid w:val="00C46DCB"/>
    <w:rsid w:val="00D47A84"/>
    <w:rsid w:val="00FD20F7"/>
    <w:rsid w:val="0F206835"/>
    <w:rsid w:val="126574A6"/>
    <w:rsid w:val="24470056"/>
    <w:rsid w:val="27D204B8"/>
    <w:rsid w:val="34D0749B"/>
    <w:rsid w:val="450D7BC0"/>
    <w:rsid w:val="60651792"/>
    <w:rsid w:val="698A6FB3"/>
    <w:rsid w:val="7FEF47C8"/>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uiPriority w:val="99"/>
  </w:style>
  <w:style w:type="table" w:default="1" w:styleId="4">
    <w:name w:val="Normal Table"/>
    <w:unhideWhenUsed/>
    <w:qFormat/>
    <w:uiPriority w:val="99"/>
    <w:tblPr>
      <w:tblLayout w:type="fixed"/>
      <w:tblCellMar>
        <w:top w:w="0" w:type="dxa"/>
        <w:left w:w="108" w:type="dxa"/>
        <w:bottom w:w="0" w:type="dxa"/>
        <w:right w:w="108" w:type="dxa"/>
      </w:tblCellMar>
    </w:tblPr>
  </w:style>
  <w:style w:type="paragraph" w:styleId="2">
    <w:name w:val="Normal (Web)"/>
    <w:basedOn w:val="1"/>
    <w:unhideWhenUsed/>
    <w:uiPriority w:val="99"/>
    <w:pPr>
      <w:spacing w:before="100" w:beforeAutospacing="1" w:after="10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Pages>2</Pages>
  <Words>42</Words>
  <Characters>240</Characters>
  <Lines>0</Lines>
  <Paragraphs>0</Paragraphs>
  <ScaleCrop>false</ScaleCrop>
  <LinksUpToDate>false</LinksUpToDate>
  <CharactersWithSpaces>0</CharactersWithSpaces>
  <Application>WPS Office_10.8.0.6108_F1E327BC-269C-435d-A152-05C5408002CA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Administrator</cp:lastModifiedBy>
  <dcterms:modified xsi:type="dcterms:W3CDTF">2019-04-30T06:33:43Z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2052-10.8.0.6108</vt:lpwstr>
  </property>
</Properties>
</file>