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00" w:lineRule="exact"/>
        <w:jc w:val="left"/>
        <w:rPr>
          <w:rFonts w:hint="eastAsia" w:hAnsi="宋体"/>
          <w:b/>
          <w:spacing w:val="-4"/>
          <w:sz w:val="28"/>
          <w:szCs w:val="28"/>
          <w:lang w:eastAsia="zh-CN"/>
        </w:rPr>
      </w:pPr>
      <w:r>
        <w:rPr>
          <w:rFonts w:hint="eastAsia" w:hAnsi="宋体"/>
          <w:b/>
          <w:spacing w:val="-4"/>
          <w:sz w:val="28"/>
          <w:szCs w:val="28"/>
          <w:lang w:eastAsia="zh-CN"/>
        </w:rPr>
        <w:t>附件2</w:t>
      </w:r>
      <w:bookmarkStart w:id="0" w:name="_GoBack"/>
      <w:bookmarkEnd w:id="0"/>
    </w:p>
    <w:p>
      <w:pPr>
        <w:widowControl/>
        <w:snapToGrid w:val="0"/>
        <w:spacing w:line="500" w:lineRule="exact"/>
        <w:jc w:val="center"/>
        <w:rPr>
          <w:rFonts w:hint="eastAsia" w:hAnsi="宋体" w:cs="宋体"/>
          <w:b/>
          <w:sz w:val="24"/>
          <w:szCs w:val="24"/>
        </w:rPr>
      </w:pPr>
      <w:r>
        <w:rPr>
          <w:rFonts w:hint="eastAsia" w:hAnsi="宋体"/>
          <w:b/>
          <w:spacing w:val="-4"/>
          <w:sz w:val="28"/>
          <w:szCs w:val="28"/>
        </w:rPr>
        <w:t xml:space="preserve"> </w:t>
      </w:r>
      <w:r>
        <w:rPr>
          <w:rFonts w:hint="eastAsia" w:hAnsi="宋体" w:cs="宋体"/>
          <w:b/>
          <w:sz w:val="28"/>
          <w:szCs w:val="28"/>
          <w:lang w:eastAsia="zh-CN"/>
        </w:rPr>
        <w:t>青铜峡市</w:t>
      </w:r>
      <w:r>
        <w:rPr>
          <w:rFonts w:hint="eastAsia" w:hAnsi="宋体" w:cs="宋体"/>
          <w:b/>
          <w:sz w:val="28"/>
          <w:szCs w:val="28"/>
        </w:rPr>
        <w:t>中心城区</w:t>
      </w:r>
      <w:r>
        <w:rPr>
          <w:rFonts w:hint="eastAsia" w:hAnsi="宋体" w:cs="宋体"/>
          <w:b/>
          <w:sz w:val="28"/>
          <w:szCs w:val="28"/>
          <w:lang w:val="en-US" w:eastAsia="zh-CN"/>
        </w:rPr>
        <w:t>2022年度</w:t>
      </w:r>
      <w:r>
        <w:rPr>
          <w:rFonts w:hint="eastAsia" w:hAnsi="宋体" w:cs="宋体"/>
          <w:b/>
          <w:sz w:val="28"/>
          <w:szCs w:val="28"/>
        </w:rPr>
        <w:t>标定地价公示信息表</w:t>
      </w:r>
    </w:p>
    <w:tbl>
      <w:tblPr>
        <w:tblStyle w:val="5"/>
        <w:tblW w:w="1443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1003"/>
        <w:gridCol w:w="2316"/>
        <w:gridCol w:w="1111"/>
        <w:gridCol w:w="1170"/>
        <w:gridCol w:w="1077"/>
        <w:gridCol w:w="891"/>
        <w:gridCol w:w="2826"/>
        <w:gridCol w:w="972"/>
        <w:gridCol w:w="799"/>
        <w:gridCol w:w="765"/>
        <w:gridCol w:w="9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tblHeader/>
        </w:trPr>
        <w:tc>
          <w:tcPr>
            <w:tcW w:w="50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</w:rPr>
            </w:pPr>
            <w:r>
              <w:rPr>
                <w:rFonts w:hint="eastAsia" w:ascii="宋体" w:hAnsi="宋体"/>
                <w:spacing w:val="-4"/>
                <w:sz w:val="20"/>
              </w:rPr>
              <w:t>序号</w:t>
            </w:r>
          </w:p>
        </w:tc>
        <w:tc>
          <w:tcPr>
            <w:tcW w:w="1003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标准宗地编码</w:t>
            </w:r>
          </w:p>
        </w:tc>
        <w:tc>
          <w:tcPr>
            <w:tcW w:w="2316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位置和名称</w:t>
            </w:r>
          </w:p>
        </w:tc>
        <w:tc>
          <w:tcPr>
            <w:tcW w:w="111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用途</w:t>
            </w:r>
          </w:p>
        </w:tc>
        <w:tc>
          <w:tcPr>
            <w:tcW w:w="117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权利类型</w:t>
            </w:r>
          </w:p>
        </w:tc>
        <w:tc>
          <w:tcPr>
            <w:tcW w:w="107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面积</w:t>
            </w:r>
          </w:p>
        </w:tc>
        <w:tc>
          <w:tcPr>
            <w:tcW w:w="89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容积率</w:t>
            </w:r>
          </w:p>
        </w:tc>
        <w:tc>
          <w:tcPr>
            <w:tcW w:w="2826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开发程度</w:t>
            </w:r>
          </w:p>
        </w:tc>
        <w:tc>
          <w:tcPr>
            <w:tcW w:w="97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设定使用年期</w:t>
            </w:r>
          </w:p>
        </w:tc>
        <w:tc>
          <w:tcPr>
            <w:tcW w:w="156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标定地价</w:t>
            </w:r>
          </w:p>
        </w:tc>
        <w:tc>
          <w:tcPr>
            <w:tcW w:w="99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</w:rPr>
            </w:pPr>
            <w:r>
              <w:rPr>
                <w:rFonts w:hint="eastAsia" w:ascii="宋体" w:hAnsi="宋体"/>
                <w:spacing w:val="-4"/>
                <w:sz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tblHeader/>
        </w:trPr>
        <w:tc>
          <w:tcPr>
            <w:tcW w:w="5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</w:rPr>
            </w:pPr>
          </w:p>
        </w:tc>
        <w:tc>
          <w:tcPr>
            <w:tcW w:w="100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231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111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107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89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282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97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土地单价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楼面单价</w:t>
            </w:r>
          </w:p>
        </w:tc>
        <w:tc>
          <w:tcPr>
            <w:tcW w:w="99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tblHeader/>
        </w:trPr>
        <w:tc>
          <w:tcPr>
            <w:tcW w:w="5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（1）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（2）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（3）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（4）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（5）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（6）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（7）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（8）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（9）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（10）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/>
                <w:spacing w:val="-4"/>
                <w:sz w:val="18"/>
                <w:szCs w:val="18"/>
              </w:rPr>
              <w:t>（11）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5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</w:rPr>
            </w:pPr>
            <w:r>
              <w:rPr>
                <w:rFonts w:hint="eastAsia" w:ascii="宋体" w:hAnsi="宋体"/>
                <w:spacing w:val="-4"/>
                <w:sz w:val="20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 w:bidi="ar"/>
              </w:rPr>
              <w:t>640381S5000101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 w:bidi="ar"/>
              </w:rPr>
              <w:t>宁朔大道东侧、古峡东街北侧、汇众CBD南侧（新百ccmall）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商服用地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国有/出让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31958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红线外“七通”（通上水、通下水、通电、通讯、通暖、通气、通路)，红线内“场地平整”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40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5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</w:rPr>
            </w:pPr>
            <w:r>
              <w:rPr>
                <w:rFonts w:hint="eastAsia" w:ascii="宋体" w:hAnsi="宋体"/>
                <w:spacing w:val="-4"/>
                <w:sz w:val="20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 w:bidi="ar"/>
              </w:rPr>
              <w:t>640381S5000201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 w:bidi="ar"/>
              </w:rPr>
              <w:t>利民街南侧、龙海商业街东侧（龙海商业街）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商服用地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国有/出让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2542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红线外“七通”（通上水、通下水、通电、通讯、通暖、通气、通路)，红线内“场地平整”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40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5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</w:rPr>
            </w:pPr>
            <w:r>
              <w:rPr>
                <w:rFonts w:hint="eastAsia" w:ascii="宋体" w:hAnsi="宋体"/>
                <w:spacing w:val="-4"/>
                <w:sz w:val="20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 w:bidi="ar"/>
              </w:rPr>
              <w:t>640381H7100101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 w:bidi="ar"/>
              </w:rPr>
              <w:t>文化北街东侧、银河街南侧（阳光越秀湾）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城镇混合用地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国有/出让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35101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红线外“七通”（通上水、通下水、通电、通讯、通暖、通气、通路)，红线内“场地平整”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商服40、住宅70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pacing w:val="-4"/>
                <w:sz w:val="20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5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</w:rPr>
            </w:pPr>
            <w:r>
              <w:rPr>
                <w:rFonts w:hint="eastAsia" w:ascii="宋体" w:hAnsi="宋体"/>
                <w:spacing w:val="-4"/>
                <w:sz w:val="20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 w:bidi="ar"/>
              </w:rPr>
              <w:t>640381H7100201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 w:bidi="ar"/>
              </w:rPr>
              <w:t>利民西街南侧（灞上御景）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城镇混合用地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国有/出让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27089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红线外“七通”（通上水、通下水、通电、通讯、通暖、通气、通路)，红线内“场地平整”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商服40、住宅70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5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</w:rPr>
            </w:pPr>
            <w:r>
              <w:rPr>
                <w:rFonts w:hint="eastAsia" w:ascii="宋体" w:hAnsi="宋体"/>
                <w:spacing w:val="-4"/>
                <w:sz w:val="20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 w:bidi="ar"/>
              </w:rPr>
              <w:t>640381H7100301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 w:bidi="ar"/>
              </w:rPr>
              <w:t>汉坝东街南侧、天一街西侧（牡丹园）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城镇混合用地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国有/出让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35113.64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红线外“七通”（通上水、通下水、通电、通讯、通暖、通气、通路)，红线内“场地平整”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商服40、住宅70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5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</w:rPr>
            </w:pPr>
            <w:r>
              <w:rPr>
                <w:rFonts w:hint="eastAsia" w:ascii="宋体" w:hAnsi="宋体"/>
                <w:spacing w:val="-4"/>
                <w:sz w:val="20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 w:bidi="ar"/>
              </w:rPr>
              <w:t>640381H7100401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 w:bidi="ar"/>
              </w:rPr>
              <w:t>利民街北侧、青龙湖南侧（碧水蓝天）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城镇混合用地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国有/出让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37584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红线外“七通”（通上水、通下水、通电、通讯、通暖、通气、通路)，红线内“场地平整”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商服40、住宅70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5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</w:rPr>
            </w:pPr>
            <w:r>
              <w:rPr>
                <w:rFonts w:hint="eastAsia" w:ascii="宋体" w:hAnsi="宋体"/>
                <w:spacing w:val="-4"/>
                <w:sz w:val="20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 w:bidi="ar"/>
              </w:rPr>
              <w:t>640381H7100501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 w:bidi="ar"/>
              </w:rPr>
              <w:t>利民街南侧、宁朔大道西侧（天景美邸）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城镇混合用地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国有/出让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67213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红线外“七通”（通上水、通下水、通电、通讯、通暖、通气、通路)，红线内“场地平整”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商服40、住宅70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818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5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</w:rPr>
            </w:pPr>
            <w:r>
              <w:rPr>
                <w:rFonts w:hint="eastAsia" w:ascii="宋体" w:hAnsi="宋体"/>
                <w:spacing w:val="-4"/>
                <w:sz w:val="20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 w:bidi="ar"/>
              </w:rPr>
              <w:t>640381H7100601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 w:bidi="ar"/>
              </w:rPr>
              <w:t>古峡东街南侧、宁朔大道东侧（香溪苑）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城镇混合用地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国有/出让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43243.3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红线外“七通”（通上水、通下水、通电、通讯、通暖、通气、通路)，红线内“场地平整”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商服40、住宅70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5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</w:rPr>
            </w:pPr>
            <w:r>
              <w:rPr>
                <w:rFonts w:hint="eastAsia" w:ascii="宋体" w:hAnsi="宋体"/>
                <w:spacing w:val="-4"/>
                <w:sz w:val="20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 w:bidi="ar"/>
              </w:rPr>
              <w:t>640381H7100701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 w:bidi="ar"/>
              </w:rPr>
              <w:t>古峡东街南侧（欧景花园）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城镇混合用地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国有/出让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52667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1.42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红线外“七通”（通上水、通下水、通电、通讯、通暖、通气、通路)，红线内“场地平整”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商服40、住宅70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766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5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</w:rPr>
            </w:pPr>
            <w:r>
              <w:rPr>
                <w:rFonts w:hint="eastAsia" w:ascii="宋体" w:hAnsi="宋体"/>
                <w:spacing w:val="-4"/>
                <w:sz w:val="20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 w:bidi="ar"/>
              </w:rPr>
              <w:t>640381H7100801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 w:bidi="ar"/>
              </w:rPr>
              <w:t>古峡东街南侧（欧景名邸）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城镇混合用地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国有/出让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43333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红线外“七通”（通上水、通下水、通电、通讯、通暖、通气、通路)，红线内“场地平整”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商服40、住宅70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794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5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</w:rPr>
            </w:pPr>
            <w:r>
              <w:rPr>
                <w:rFonts w:hint="eastAsia" w:ascii="宋体" w:hAnsi="宋体"/>
                <w:spacing w:val="-4"/>
                <w:sz w:val="20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 w:bidi="ar"/>
              </w:rPr>
              <w:t>640381H7100901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 w:bidi="ar"/>
              </w:rPr>
              <w:t>利民东街南侧（云天华府）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城镇混合用地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国有/出让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64667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1.52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红线外“七通”（通上水、通下水、通电、通讯、通暖、通气、通路)，红线内“场地平整”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商服40、住宅70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5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</w:rPr>
            </w:pPr>
            <w:r>
              <w:rPr>
                <w:rFonts w:hint="eastAsia" w:ascii="宋体" w:hAnsi="宋体"/>
                <w:spacing w:val="-4"/>
                <w:sz w:val="20"/>
              </w:rPr>
              <w:t>12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 w:bidi="ar"/>
              </w:rPr>
              <w:t>640381H7101001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 w:bidi="ar"/>
              </w:rPr>
              <w:t>利民东街南侧，文昌路东侧（黄河外滩）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城镇混合用地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国有/出让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30770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红线外“七通”（通上水、通下水、通电、通讯、通暖、通气、通路)，红线内“场地平整”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商服40、住宅70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spacing w:val="-4"/>
                <w:sz w:val="20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spacing w:val="-4"/>
                <w:sz w:val="20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5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hint="eastAsia" w:ascii="宋体" w:hAnsi="宋体"/>
                <w:spacing w:val="-4"/>
                <w:sz w:val="20"/>
                <w:lang w:val="en-US" w:eastAsia="zh-CN" w:bidi="ar-SA"/>
              </w:rPr>
            </w:pPr>
            <w:r>
              <w:rPr>
                <w:rFonts w:hint="eastAsia" w:ascii="宋体" w:hAnsi="宋体"/>
                <w:spacing w:val="-4"/>
                <w:sz w:val="20"/>
              </w:rPr>
              <w:t>13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 w:bidi="ar"/>
              </w:rPr>
              <w:t>640381H7101101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 w:bidi="ar"/>
              </w:rPr>
              <w:t>汉延渠西侧、朔方街北侧、京拉线南侧（锦秀园）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城镇混合用地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国有/出让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spacing w:val="-4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51463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红线外“七通”（通上水、通下水、通电、通讯、通暖、通气、通路)，红线内“场地平整”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商服40、住宅70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5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  <w:lang w:val="en-US" w:eastAsia="zh-CN" w:bidi="ar-SA"/>
              </w:rPr>
            </w:pPr>
            <w:r>
              <w:rPr>
                <w:rFonts w:hint="eastAsia" w:ascii="宋体" w:hAnsi="宋体"/>
                <w:spacing w:val="-4"/>
                <w:sz w:val="20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 w:bidi="ar"/>
              </w:rPr>
              <w:t>640381Z7100101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 w:bidi="ar"/>
              </w:rPr>
              <w:t>亲水湖畔路南侧（亲水湖畔）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城镇住宅用地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国有/出让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9585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红线外“七通”（通上水、通下水、通电、通讯、通暖、通气、通路)，红线内“场地平整”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70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spacing w:val="-4"/>
                <w:sz w:val="20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5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  <w:jc w:val="center"/>
              <w:rPr>
                <w:rFonts w:ascii="宋体" w:hAnsi="宋体"/>
                <w:spacing w:val="-4"/>
                <w:sz w:val="20"/>
                <w:lang w:val="en-US" w:eastAsia="zh-CN" w:bidi="ar-SA"/>
              </w:rPr>
            </w:pPr>
            <w:r>
              <w:rPr>
                <w:rFonts w:hint="eastAsia" w:ascii="宋体" w:hAnsi="宋体"/>
                <w:spacing w:val="-4"/>
                <w:sz w:val="20"/>
              </w:rPr>
              <w:t>15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 w:bidi="ar"/>
              </w:rPr>
              <w:t>640381G6100101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 w:bidi="ar"/>
              </w:rPr>
              <w:t>亲水路东侧（吉宏包装）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工业用地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国有/出让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32542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sz w:val="18"/>
                <w:szCs w:val="18"/>
                <w:lang w:val="en-US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</w:t>
            </w:r>
          </w:p>
        </w:tc>
        <w:tc>
          <w:tcPr>
            <w:tcW w:w="2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Times New Roman"/>
                <w:spacing w:val="-4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红线外“七通”（通上水、通下水、通电、通讯、通暖、通气、通路)，红线内“场地平整”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bidi="ar"/>
              </w:rPr>
              <w:t>50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36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right="67" w:rightChars="32"/>
            </w:pPr>
            <w:r>
              <w:rPr>
                <w:rFonts w:hint="eastAsia"/>
              </w:rPr>
              <w:t>填表说明：表中填写单位分别为：面积，平方米；标定地价，元/平方米；</w:t>
            </w: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420" w:leftChars="200" w:firstLine="420" w:firstLineChars="200"/>
    </w:pPr>
    <w:rPr>
      <w:rFonts w:ascii="Times New Roman"/>
      <w:sz w:val="21"/>
      <w:szCs w:val="24"/>
    </w:rPr>
  </w:style>
  <w:style w:type="paragraph" w:styleId="3">
    <w:name w:val="Body Text Indent"/>
    <w:basedOn w:val="1"/>
    <w:qFormat/>
    <w:uiPriority w:val="0"/>
    <w:pPr>
      <w:ind w:firstLine="555"/>
    </w:pPr>
    <w:rPr>
      <w:rFonts w:ascii="仿宋_GB2312"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2021-09-24T16:48:00Z</dcterms:created>
  <dc:creator>Paladinjoey</dc:creator>
  <cp:lastModifiedBy>iPhone</cp:lastModifiedBy>
  <dcterms:modified xsi:type="dcterms:W3CDTF">2022-11-07T17:04:33Z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2052-11.31.0</vt:lpwstr>
  </property>
  <property fmtid="{D5CDD505-2E9C-101B-9397-08002B2CF9AE}" pid="3" name="ICV">
    <vt:lpwstr>61AA5BE2D282AFFE21CA6863A05C006F</vt:lpwstr>
  </property>
</Properties>
</file>