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159" w:firstLine="0" w:firstLineChars="0"/>
        <w:jc w:val="center"/>
        <w:textAlignment w:val="auto"/>
        <w:outlineLvl w:val="9"/>
        <w:rPr>
          <w:rFonts w:hint="default" w:ascii="方正小标宋简体" w:hAnsi="方正小标宋简体" w:eastAsia="方正小标宋简体" w:cs="方正小标宋简体"/>
          <w:b w:val="0"/>
          <w:bCs/>
          <w:w w:val="95"/>
          <w:sz w:val="44"/>
          <w:szCs w:val="44"/>
          <w:lang w:val="en-US" w:eastAsia="zh-CN"/>
        </w:rPr>
      </w:pPr>
      <w:r>
        <w:rPr>
          <w:rFonts w:hint="default" w:ascii="方正小标宋简体" w:hAnsi="方正小标宋简体" w:eastAsia="方正小标宋简体" w:cs="方正小标宋简体"/>
          <w:b w:val="0"/>
          <w:bCs/>
          <w:w w:val="95"/>
          <w:sz w:val="44"/>
          <w:szCs w:val="44"/>
          <w:lang w:val="en-US" w:eastAsia="zh-CN"/>
        </w:rPr>
        <w:t>青铜峡市旅游业“十四五”发展规划</w:t>
      </w:r>
    </w:p>
    <w:p>
      <w:pPr>
        <w:keepNext w:val="0"/>
        <w:keepLines w:val="0"/>
        <w:pageBreakBefore w:val="0"/>
        <w:widowControl w:val="0"/>
        <w:kinsoku/>
        <w:wordWrap/>
        <w:overflowPunct/>
        <w:topLinePunct w:val="0"/>
        <w:autoSpaceDE/>
        <w:autoSpaceDN/>
        <w:bidi w:val="0"/>
        <w:adjustRightInd/>
        <w:snapToGrid/>
        <w:spacing w:line="640" w:lineRule="exact"/>
        <w:ind w:left="0" w:leftChars="0" w:right="159" w:firstLine="0" w:firstLineChars="0"/>
        <w:jc w:val="center"/>
        <w:textAlignment w:val="auto"/>
        <w:outlineLvl w:val="9"/>
        <w:rPr>
          <w:rFonts w:hint="default" w:ascii="方正小标宋简体" w:hAnsi="方正小标宋简体" w:eastAsia="方正小标宋简体" w:cs="方正小标宋简体"/>
          <w:b w:val="0"/>
          <w:bCs/>
          <w:w w:val="95"/>
          <w:sz w:val="44"/>
          <w:szCs w:val="44"/>
          <w:lang w:val="en-US" w:eastAsia="zh-CN"/>
        </w:rPr>
      </w:pPr>
      <w:r>
        <w:rPr>
          <w:rFonts w:hint="default" w:ascii="方正小标宋简体" w:hAnsi="方正小标宋简体" w:eastAsia="方正小标宋简体" w:cs="方正小标宋简体"/>
          <w:b w:val="0"/>
          <w:bCs/>
          <w:w w:val="95"/>
          <w:sz w:val="44"/>
          <w:szCs w:val="44"/>
          <w:lang w:val="en-US" w:eastAsia="zh-CN"/>
        </w:rPr>
        <w:t>（2021年~2025年）</w:t>
      </w:r>
    </w:p>
    <w:p>
      <w:pPr>
        <w:keepNext w:val="0"/>
        <w:keepLines w:val="0"/>
        <w:pageBreakBefore w:val="0"/>
        <w:widowControl w:val="0"/>
        <w:kinsoku/>
        <w:wordWrap/>
        <w:overflowPunct/>
        <w:topLinePunct w:val="0"/>
        <w:autoSpaceDE/>
        <w:autoSpaceDN/>
        <w:bidi w:val="0"/>
        <w:adjustRightInd/>
        <w:snapToGrid/>
        <w:spacing w:line="640" w:lineRule="exact"/>
        <w:ind w:left="0" w:leftChars="0" w:right="159" w:firstLine="0" w:firstLineChars="0"/>
        <w:jc w:val="center"/>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pStyle w:val="6"/>
        <w:rPr>
          <w:rFonts w:hint="eastAsia" w:ascii="方正小标宋简体" w:hAnsi="方正小标宋简体" w:eastAsia="方正小标宋简体" w:cs="方正小标宋简体"/>
          <w:b w:val="0"/>
          <w:bCs/>
          <w:w w:val="95"/>
          <w:sz w:val="44"/>
          <w:szCs w:val="44"/>
          <w:lang w:val="en-US" w:eastAsia="zh-CN"/>
        </w:rPr>
      </w:pP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bidi="ar-SA"/>
        </w:rPr>
      </w:pPr>
      <w:r>
        <w:rPr>
          <w:rFonts w:hint="eastAsia" w:ascii="方正小标宋简体" w:hAnsi="方正小标宋简体" w:eastAsia="方正小标宋简体" w:cs="方正小标宋简体"/>
          <w:b w:val="0"/>
          <w:bCs w:val="0"/>
          <w:sz w:val="36"/>
          <w:szCs w:val="36"/>
          <w:lang w:val="en-US" w:eastAsia="zh-CN" w:bidi="ar-SA"/>
        </w:rPr>
        <w:t>青铜峡市人民政府</w:t>
      </w:r>
    </w:p>
    <w:p>
      <w:pPr>
        <w:pStyle w:val="9"/>
        <w:jc w:val="both"/>
        <w:rPr>
          <w:rFonts w:hint="eastAsia" w:ascii="黑体" w:hAnsi="黑体" w:eastAsia="黑体" w:cs="黑体"/>
          <w:b/>
          <w:bCs/>
          <w:sz w:val="44"/>
          <w:szCs w:val="44"/>
          <w:lang w:val="en-US" w:eastAsia="zh-CN" w:bidi="ar-SA"/>
        </w:rPr>
      </w:pPr>
    </w:p>
    <w:p>
      <w:pPr>
        <w:keepNext w:val="0"/>
        <w:keepLines w:val="0"/>
        <w:pageBreakBefore w:val="0"/>
        <w:widowControl w:val="0"/>
        <w:kinsoku/>
        <w:wordWrap/>
        <w:overflowPunct/>
        <w:topLinePunct w:val="0"/>
        <w:autoSpaceDE/>
        <w:autoSpaceDN/>
        <w:bidi w:val="0"/>
        <w:adjustRightInd/>
        <w:spacing w:line="640" w:lineRule="exact"/>
        <w:ind w:left="0" w:leftChars="0" w:right="157" w:firstLine="1254" w:firstLineChars="300"/>
        <w:jc w:val="both"/>
        <w:textAlignment w:val="auto"/>
        <w:outlineLvl w:val="9"/>
        <w:rPr>
          <w:rFonts w:hint="eastAsia" w:ascii="方正小标宋简体" w:hAnsi="方正小标宋简体" w:eastAsia="方正小标宋简体" w:cs="方正小标宋简体"/>
          <w:b w:val="0"/>
          <w:bCs/>
          <w:w w:val="95"/>
          <w:sz w:val="44"/>
          <w:szCs w:val="44"/>
          <w:lang w:val="en-US" w:eastAsia="zh-CN"/>
        </w:rPr>
      </w:pPr>
    </w:p>
    <w:p>
      <w:pPr>
        <w:jc w:val="center"/>
        <w:rPr>
          <w:rFonts w:ascii="Times New Roman" w:hAnsi="Times New Roman"/>
          <w:sz w:val="32"/>
          <w:szCs w:val="32"/>
        </w:rPr>
      </w:pPr>
    </w:p>
    <w:p>
      <w:pPr>
        <w:jc w:val="center"/>
        <w:rPr>
          <w:rFonts w:ascii="Times New Roman" w:hAnsi="Times New Roman"/>
          <w:sz w:val="32"/>
          <w:szCs w:val="32"/>
        </w:rPr>
      </w:pPr>
    </w:p>
    <w:p>
      <w:pPr>
        <w:widowControl/>
        <w:jc w:val="center"/>
        <w:rPr>
          <w:rFonts w:ascii="Times New Roman" w:hAnsi="Times New Roman"/>
          <w:b/>
          <w:sz w:val="32"/>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widowControl/>
        <w:jc w:val="center"/>
        <w:rPr>
          <w:rFonts w:ascii="Times New Roman" w:hAnsi="Times New Roman" w:eastAsia="黑体"/>
          <w:kern w:val="0"/>
          <w:sz w:val="36"/>
          <w:szCs w:val="36"/>
        </w:rPr>
      </w:pPr>
      <w:r>
        <w:rPr>
          <w:rFonts w:ascii="Times New Roman" w:hAnsi="Times New Roman" w:eastAsia="黑体"/>
          <w:kern w:val="0"/>
          <w:sz w:val="36"/>
          <w:szCs w:val="36"/>
        </w:rPr>
        <w:t>目  录</w:t>
      </w:r>
    </w:p>
    <w:p>
      <w:pPr>
        <w:pStyle w:val="11"/>
        <w:tabs>
          <w:tab w:val="right" w:leader="dot" w:pos="8306"/>
          <w:tab w:val="clear" w:pos="8296"/>
        </w:tabs>
        <w:spacing w:line="312" w:lineRule="auto"/>
        <w:rPr>
          <w:rFonts w:ascii="Times New Roman" w:hAnsi="Times New Roman" w:eastAsia="仿宋" w:cs="Times New Roman"/>
          <w:sz w:val="24"/>
          <w:szCs w:val="24"/>
        </w:rPr>
      </w:pPr>
      <w:r>
        <w:rPr>
          <w:rFonts w:ascii="Times New Roman" w:hAnsi="Times New Roman" w:eastAsia="仿宋" w:cs="Times New Roman"/>
          <w:color w:val="FF0000"/>
          <w:sz w:val="24"/>
          <w:szCs w:val="24"/>
        </w:rPr>
        <w:fldChar w:fldCharType="begin"/>
      </w:r>
      <w:r>
        <w:rPr>
          <w:rFonts w:ascii="Times New Roman" w:hAnsi="Times New Roman" w:eastAsia="仿宋" w:cs="Times New Roman"/>
          <w:color w:val="FF0000"/>
          <w:sz w:val="24"/>
          <w:szCs w:val="24"/>
        </w:rPr>
        <w:instrText xml:space="preserve"> TOC \o "1-3" \h \z \u </w:instrText>
      </w:r>
      <w:r>
        <w:rPr>
          <w:rFonts w:ascii="Times New Roman" w:hAnsi="Times New Roman" w:eastAsia="仿宋" w:cs="Times New Roman"/>
          <w:color w:val="FF0000"/>
          <w:sz w:val="24"/>
          <w:szCs w:val="24"/>
        </w:rPr>
        <w:fldChar w:fldCharType="separate"/>
      </w:r>
      <w:r>
        <w:rPr>
          <w:rFonts w:ascii="Times New Roman" w:hAnsi="Times New Roman" w:eastAsia="仿宋" w:cs="Times New Roman"/>
          <w:color w:val="FF0000"/>
          <w:sz w:val="24"/>
          <w:szCs w:val="24"/>
        </w:rPr>
        <w:fldChar w:fldCharType="begin"/>
      </w:r>
      <w:r>
        <w:rPr>
          <w:rFonts w:ascii="Times New Roman" w:hAnsi="Times New Roman" w:eastAsia="仿宋" w:cs="Times New Roman"/>
          <w:sz w:val="24"/>
          <w:szCs w:val="24"/>
        </w:rPr>
        <w:instrText xml:space="preserve"> HYPERLINK \l _Toc1592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第一章 把握机遇，迎接旅游高质量发展新时代</w:t>
      </w:r>
      <w:r>
        <w:rPr>
          <w:rFonts w:ascii="Times New Roman" w:hAnsi="Times New Roman" w:eastAsia="仿宋" w:cs="Times New Roman"/>
          <w:sz w:val="24"/>
          <w:szCs w:val="24"/>
        </w:rPr>
        <w:tab/>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PAGEREF _Toc1592 \h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- 6 -</w:t>
      </w:r>
      <w:r>
        <w:rPr>
          <w:rFonts w:ascii="Times New Roman" w:hAnsi="Times New Roman" w:eastAsia="仿宋" w:cs="Times New Roman"/>
          <w:sz w:val="24"/>
          <w:szCs w:val="24"/>
        </w:rPr>
        <w:fldChar w:fldCharType="end"/>
      </w:r>
      <w:r>
        <w:rPr>
          <w:rFonts w:ascii="Times New Roman" w:hAnsi="Times New Roman" w:eastAsia="仿宋" w:cs="Times New Roman"/>
          <w:color w:val="FF000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_Toc9536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第一节 “十三五”取得成绩</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_Toc9536 \h </w:instrText>
      </w:r>
      <w:r>
        <w:rPr>
          <w:rFonts w:ascii="Times New Roman" w:hAnsi="Times New Roman" w:eastAsia="仿宋"/>
          <w:sz w:val="24"/>
          <w:szCs w:val="24"/>
        </w:rPr>
        <w:fldChar w:fldCharType="separate"/>
      </w:r>
      <w:r>
        <w:rPr>
          <w:rFonts w:ascii="Times New Roman" w:hAnsi="Times New Roman" w:eastAsia="仿宋"/>
          <w:sz w:val="24"/>
          <w:szCs w:val="24"/>
        </w:rPr>
        <w:t>- 6 -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_Toc7345 </w:instrText>
      </w:r>
      <w:r>
        <w:rPr>
          <w:rFonts w:ascii="Times New Roman" w:hAnsi="Times New Roman" w:eastAsia="仿宋"/>
          <w:kern w:val="0"/>
          <w:szCs w:val="24"/>
        </w:rPr>
        <w:fldChar w:fldCharType="separate"/>
      </w:r>
      <w:r>
        <w:rPr>
          <w:rFonts w:ascii="Times New Roman" w:hAnsi="Times New Roman" w:eastAsia="仿宋"/>
          <w:szCs w:val="24"/>
        </w:rPr>
        <w:t>一、立足长远，以战略思维谋划产业发展</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_Toc7345 \h </w:instrText>
      </w:r>
      <w:r>
        <w:rPr>
          <w:rFonts w:ascii="Times New Roman" w:hAnsi="Times New Roman" w:eastAsia="仿宋"/>
          <w:szCs w:val="24"/>
        </w:rPr>
        <w:fldChar w:fldCharType="separate"/>
      </w:r>
      <w:r>
        <w:rPr>
          <w:rFonts w:ascii="Times New Roman" w:hAnsi="Times New Roman" w:eastAsia="仿宋"/>
          <w:szCs w:val="24"/>
        </w:rPr>
        <w:t>- 7 -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_Toc20082 </w:instrText>
      </w:r>
      <w:r>
        <w:rPr>
          <w:rFonts w:ascii="Times New Roman" w:hAnsi="Times New Roman" w:eastAsia="仿宋"/>
          <w:kern w:val="0"/>
          <w:szCs w:val="24"/>
        </w:rPr>
        <w:fldChar w:fldCharType="separate"/>
      </w:r>
      <w:r>
        <w:rPr>
          <w:rFonts w:ascii="Times New Roman" w:hAnsi="Times New Roman" w:eastAsia="仿宋"/>
          <w:szCs w:val="24"/>
        </w:rPr>
        <w:t>二、突出重点，以扎实举措推进产业发展</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_Toc20082 \h </w:instrText>
      </w:r>
      <w:r>
        <w:rPr>
          <w:rFonts w:ascii="Times New Roman" w:hAnsi="Times New Roman" w:eastAsia="仿宋"/>
          <w:szCs w:val="24"/>
        </w:rPr>
        <w:fldChar w:fldCharType="separate"/>
      </w:r>
      <w:r>
        <w:rPr>
          <w:rFonts w:ascii="Times New Roman" w:hAnsi="Times New Roman" w:eastAsia="仿宋"/>
          <w:szCs w:val="24"/>
        </w:rPr>
        <w:t>- 8 -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_Toc28645 </w:instrText>
      </w:r>
      <w:r>
        <w:rPr>
          <w:rFonts w:ascii="Times New Roman" w:hAnsi="Times New Roman" w:eastAsia="仿宋"/>
          <w:kern w:val="0"/>
          <w:szCs w:val="24"/>
        </w:rPr>
        <w:fldChar w:fldCharType="separate"/>
      </w:r>
      <w:r>
        <w:rPr>
          <w:rFonts w:ascii="Times New Roman" w:hAnsi="Times New Roman" w:eastAsia="仿宋"/>
          <w:szCs w:val="24"/>
        </w:rPr>
        <w:t>三、创新发展，以资源整合推进产业发展</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_Toc28645 \h </w:instrText>
      </w:r>
      <w:r>
        <w:rPr>
          <w:rFonts w:ascii="Times New Roman" w:hAnsi="Times New Roman" w:eastAsia="仿宋"/>
          <w:szCs w:val="24"/>
        </w:rPr>
        <w:fldChar w:fldCharType="separate"/>
      </w:r>
      <w:r>
        <w:rPr>
          <w:rFonts w:ascii="Times New Roman" w:hAnsi="Times New Roman" w:eastAsia="仿宋"/>
          <w:szCs w:val="24"/>
        </w:rPr>
        <w:t>- 9 -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_Toc10902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第二节 “十三五”存在问题</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_Toc10902 \h </w:instrText>
      </w:r>
      <w:r>
        <w:rPr>
          <w:rFonts w:ascii="Times New Roman" w:hAnsi="Times New Roman" w:eastAsia="仿宋"/>
          <w:sz w:val="24"/>
          <w:szCs w:val="24"/>
        </w:rPr>
        <w:fldChar w:fldCharType="separate"/>
      </w:r>
      <w:r>
        <w:rPr>
          <w:rFonts w:ascii="Times New Roman" w:hAnsi="Times New Roman" w:eastAsia="仿宋"/>
          <w:sz w:val="24"/>
          <w:szCs w:val="24"/>
        </w:rPr>
        <w:t>- 10 -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_Toc5074 </w:instrText>
      </w:r>
      <w:r>
        <w:rPr>
          <w:rFonts w:ascii="Times New Roman" w:hAnsi="Times New Roman" w:eastAsia="仿宋"/>
          <w:kern w:val="0"/>
          <w:szCs w:val="24"/>
        </w:rPr>
        <w:fldChar w:fldCharType="separate"/>
      </w:r>
      <w:r>
        <w:rPr>
          <w:rFonts w:ascii="Times New Roman" w:hAnsi="Times New Roman" w:eastAsia="仿宋"/>
          <w:szCs w:val="24"/>
        </w:rPr>
        <w:t>一、产业配套服务相对滞后</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_Toc5074 \h </w:instrText>
      </w:r>
      <w:r>
        <w:rPr>
          <w:rFonts w:ascii="Times New Roman" w:hAnsi="Times New Roman" w:eastAsia="仿宋"/>
          <w:szCs w:val="24"/>
        </w:rPr>
        <w:fldChar w:fldCharType="separate"/>
      </w:r>
      <w:r>
        <w:rPr>
          <w:rFonts w:ascii="Times New Roman" w:hAnsi="Times New Roman" w:eastAsia="仿宋"/>
          <w:szCs w:val="24"/>
        </w:rPr>
        <w:t>- 10 -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_Toc26849 </w:instrText>
      </w:r>
      <w:r>
        <w:rPr>
          <w:rFonts w:ascii="Times New Roman" w:hAnsi="Times New Roman" w:eastAsia="仿宋"/>
          <w:kern w:val="0"/>
          <w:szCs w:val="24"/>
        </w:rPr>
        <w:fldChar w:fldCharType="separate"/>
      </w:r>
      <w:r>
        <w:rPr>
          <w:rFonts w:ascii="Times New Roman" w:hAnsi="Times New Roman" w:eastAsia="仿宋"/>
          <w:szCs w:val="24"/>
        </w:rPr>
        <w:t>二、产业融合深度有待提高</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_Toc26849 \h </w:instrText>
      </w:r>
      <w:r>
        <w:rPr>
          <w:rFonts w:ascii="Times New Roman" w:hAnsi="Times New Roman" w:eastAsia="仿宋"/>
          <w:szCs w:val="24"/>
        </w:rPr>
        <w:fldChar w:fldCharType="separate"/>
      </w:r>
      <w:r>
        <w:rPr>
          <w:rFonts w:ascii="Times New Roman" w:hAnsi="Times New Roman" w:eastAsia="仿宋"/>
          <w:szCs w:val="24"/>
        </w:rPr>
        <w:t>- 10 -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_Toc24926 </w:instrText>
      </w:r>
      <w:r>
        <w:rPr>
          <w:rFonts w:ascii="Times New Roman" w:hAnsi="Times New Roman" w:eastAsia="仿宋"/>
          <w:kern w:val="0"/>
          <w:szCs w:val="24"/>
        </w:rPr>
        <w:fldChar w:fldCharType="separate"/>
      </w:r>
      <w:r>
        <w:rPr>
          <w:rFonts w:ascii="Times New Roman" w:hAnsi="Times New Roman" w:eastAsia="仿宋"/>
          <w:szCs w:val="24"/>
        </w:rPr>
        <w:t>三、品牌吸引物连续性不强</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_Toc24926 \h </w:instrText>
      </w:r>
      <w:r>
        <w:rPr>
          <w:rFonts w:ascii="Times New Roman" w:hAnsi="Times New Roman" w:eastAsia="仿宋"/>
          <w:szCs w:val="24"/>
        </w:rPr>
        <w:fldChar w:fldCharType="separate"/>
      </w:r>
      <w:r>
        <w:rPr>
          <w:rFonts w:ascii="Times New Roman" w:hAnsi="Times New Roman" w:eastAsia="仿宋"/>
          <w:szCs w:val="24"/>
        </w:rPr>
        <w:t>- 11 -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_Toc21272 </w:instrText>
      </w:r>
      <w:r>
        <w:rPr>
          <w:rFonts w:ascii="Times New Roman" w:hAnsi="Times New Roman" w:eastAsia="仿宋"/>
          <w:kern w:val="0"/>
          <w:szCs w:val="24"/>
        </w:rPr>
        <w:fldChar w:fldCharType="separate"/>
      </w:r>
      <w:r>
        <w:rPr>
          <w:rFonts w:ascii="Times New Roman" w:hAnsi="Times New Roman" w:eastAsia="仿宋"/>
          <w:szCs w:val="24"/>
        </w:rPr>
        <w:t>四、旅游客源市场相对单一</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_Toc21272 \h </w:instrText>
      </w:r>
      <w:r>
        <w:rPr>
          <w:rFonts w:ascii="Times New Roman" w:hAnsi="Times New Roman" w:eastAsia="仿宋"/>
          <w:szCs w:val="24"/>
        </w:rPr>
        <w:fldChar w:fldCharType="separate"/>
      </w:r>
      <w:r>
        <w:rPr>
          <w:rFonts w:ascii="Times New Roman" w:hAnsi="Times New Roman" w:eastAsia="仿宋"/>
          <w:szCs w:val="24"/>
        </w:rPr>
        <w:t>- 11 -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_Toc26058 </w:instrText>
      </w:r>
      <w:r>
        <w:rPr>
          <w:rFonts w:ascii="Times New Roman" w:hAnsi="Times New Roman" w:eastAsia="仿宋"/>
          <w:kern w:val="0"/>
          <w:szCs w:val="24"/>
        </w:rPr>
        <w:fldChar w:fldCharType="separate"/>
      </w:r>
      <w:r>
        <w:rPr>
          <w:rFonts w:ascii="Times New Roman" w:hAnsi="Times New Roman" w:eastAsia="仿宋"/>
          <w:szCs w:val="24"/>
        </w:rPr>
        <w:t>五、人才匮乏阻碍产业发展</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_Toc26058 \h </w:instrText>
      </w:r>
      <w:r>
        <w:rPr>
          <w:rFonts w:ascii="Times New Roman" w:hAnsi="Times New Roman" w:eastAsia="仿宋"/>
          <w:szCs w:val="24"/>
        </w:rPr>
        <w:fldChar w:fldCharType="separate"/>
      </w:r>
      <w:r>
        <w:rPr>
          <w:rFonts w:ascii="Times New Roman" w:hAnsi="Times New Roman" w:eastAsia="仿宋"/>
          <w:szCs w:val="24"/>
        </w:rPr>
        <w:t>- 12 -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_Toc18880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第三节 “十四五”机遇趋势</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_Toc18880 \h </w:instrText>
      </w:r>
      <w:r>
        <w:rPr>
          <w:rFonts w:ascii="Times New Roman" w:hAnsi="Times New Roman" w:eastAsia="仿宋"/>
          <w:sz w:val="24"/>
          <w:szCs w:val="24"/>
        </w:rPr>
        <w:fldChar w:fldCharType="separate"/>
      </w:r>
      <w:r>
        <w:rPr>
          <w:rFonts w:ascii="Times New Roman" w:hAnsi="Times New Roman" w:eastAsia="仿宋"/>
          <w:sz w:val="24"/>
          <w:szCs w:val="24"/>
        </w:rPr>
        <w:t>- 12 -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_Toc3753 </w:instrText>
      </w:r>
      <w:r>
        <w:rPr>
          <w:rFonts w:ascii="Times New Roman" w:hAnsi="Times New Roman" w:eastAsia="仿宋"/>
          <w:kern w:val="0"/>
          <w:szCs w:val="24"/>
        </w:rPr>
        <w:fldChar w:fldCharType="separate"/>
      </w:r>
      <w:r>
        <w:rPr>
          <w:rFonts w:ascii="Times New Roman" w:hAnsi="Times New Roman" w:eastAsia="仿宋"/>
          <w:szCs w:val="24"/>
        </w:rPr>
        <w:t>一、面临新机遇</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_Toc3753 \h </w:instrText>
      </w:r>
      <w:r>
        <w:rPr>
          <w:rFonts w:ascii="Times New Roman" w:hAnsi="Times New Roman" w:eastAsia="仿宋"/>
          <w:szCs w:val="24"/>
        </w:rPr>
        <w:fldChar w:fldCharType="separate"/>
      </w:r>
      <w:r>
        <w:rPr>
          <w:rFonts w:ascii="Times New Roman" w:hAnsi="Times New Roman" w:eastAsia="仿宋"/>
          <w:szCs w:val="24"/>
        </w:rPr>
        <w:t>- 12 -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_Toc24254 </w:instrText>
      </w:r>
      <w:r>
        <w:rPr>
          <w:rFonts w:ascii="Times New Roman" w:hAnsi="Times New Roman" w:eastAsia="仿宋"/>
          <w:kern w:val="0"/>
          <w:szCs w:val="24"/>
        </w:rPr>
        <w:fldChar w:fldCharType="separate"/>
      </w:r>
      <w:r>
        <w:rPr>
          <w:rFonts w:ascii="Times New Roman" w:hAnsi="Times New Roman" w:eastAsia="仿宋"/>
          <w:szCs w:val="24"/>
        </w:rPr>
        <w:t>二、发展新趋势</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_Toc24254 \h </w:instrText>
      </w:r>
      <w:r>
        <w:rPr>
          <w:rFonts w:ascii="Times New Roman" w:hAnsi="Times New Roman" w:eastAsia="仿宋"/>
          <w:szCs w:val="24"/>
        </w:rPr>
        <w:fldChar w:fldCharType="separate"/>
      </w:r>
      <w:r>
        <w:rPr>
          <w:rFonts w:ascii="Times New Roman" w:hAnsi="Times New Roman" w:eastAsia="仿宋"/>
          <w:szCs w:val="24"/>
        </w:rPr>
        <w:t>- 13 -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1"/>
        <w:tabs>
          <w:tab w:val="right" w:leader="dot" w:pos="8306"/>
          <w:tab w:val="clear" w:pos="8296"/>
        </w:tabs>
        <w:spacing w:line="312" w:lineRule="auto"/>
        <w:rPr>
          <w:rFonts w:ascii="Times New Roman" w:hAnsi="Times New Roman" w:eastAsia="仿宋" w:cs="Times New Roman"/>
          <w:sz w:val="24"/>
          <w:szCs w:val="24"/>
        </w:rPr>
      </w:pPr>
      <w:r>
        <w:rPr>
          <w:rFonts w:ascii="Times New Roman" w:hAnsi="Times New Roman" w:eastAsia="仿宋" w:cs="Times New Roman"/>
          <w:color w:val="FF0000"/>
          <w:sz w:val="24"/>
          <w:szCs w:val="24"/>
        </w:rPr>
        <w:fldChar w:fldCharType="begin"/>
      </w:r>
      <w:r>
        <w:rPr>
          <w:rFonts w:ascii="Times New Roman" w:hAnsi="Times New Roman" w:eastAsia="仿宋" w:cs="Times New Roman"/>
          <w:sz w:val="24"/>
          <w:szCs w:val="24"/>
        </w:rPr>
        <w:instrText xml:space="preserve"> HYPERLINK \l _Toc32384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第二章 转型升级，明确旅游高质量发展新目标</w:t>
      </w:r>
      <w:r>
        <w:rPr>
          <w:rFonts w:ascii="Times New Roman" w:hAnsi="Times New Roman" w:eastAsia="仿宋" w:cs="Times New Roman"/>
          <w:sz w:val="24"/>
          <w:szCs w:val="24"/>
        </w:rPr>
        <w:tab/>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PAGEREF _Toc32384 \h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- 16 -</w:t>
      </w:r>
      <w:r>
        <w:rPr>
          <w:rFonts w:ascii="Times New Roman" w:hAnsi="Times New Roman" w:eastAsia="仿宋" w:cs="Times New Roman"/>
          <w:sz w:val="24"/>
          <w:szCs w:val="24"/>
        </w:rPr>
        <w:fldChar w:fldCharType="end"/>
      </w:r>
      <w:r>
        <w:rPr>
          <w:rFonts w:ascii="Times New Roman" w:hAnsi="Times New Roman" w:eastAsia="仿宋" w:cs="Times New Roman"/>
          <w:color w:val="FF000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_Toc27116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第一节 指导思想</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_Toc27116 \h </w:instrText>
      </w:r>
      <w:r>
        <w:rPr>
          <w:rFonts w:ascii="Times New Roman" w:hAnsi="Times New Roman" w:eastAsia="仿宋"/>
          <w:sz w:val="24"/>
          <w:szCs w:val="24"/>
        </w:rPr>
        <w:fldChar w:fldCharType="separate"/>
      </w:r>
      <w:r>
        <w:rPr>
          <w:rFonts w:ascii="Times New Roman" w:hAnsi="Times New Roman" w:eastAsia="仿宋"/>
          <w:sz w:val="24"/>
          <w:szCs w:val="24"/>
        </w:rPr>
        <w:t>- 16 -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_Toc6013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第二节 发展原则</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_Toc6013 \h </w:instrText>
      </w:r>
      <w:r>
        <w:rPr>
          <w:rFonts w:ascii="Times New Roman" w:hAnsi="Times New Roman" w:eastAsia="仿宋"/>
          <w:sz w:val="24"/>
          <w:szCs w:val="24"/>
        </w:rPr>
        <w:fldChar w:fldCharType="separate"/>
      </w:r>
      <w:r>
        <w:rPr>
          <w:rFonts w:ascii="Times New Roman" w:hAnsi="Times New Roman" w:eastAsia="仿宋"/>
          <w:sz w:val="24"/>
          <w:szCs w:val="24"/>
        </w:rPr>
        <w:t>- 16 -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_Toc3960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第三节 发展战略</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_Toc3960 \h </w:instrText>
      </w:r>
      <w:r>
        <w:rPr>
          <w:rFonts w:ascii="Times New Roman" w:hAnsi="Times New Roman" w:eastAsia="仿宋"/>
          <w:sz w:val="24"/>
          <w:szCs w:val="24"/>
        </w:rPr>
        <w:fldChar w:fldCharType="separate"/>
      </w:r>
      <w:r>
        <w:rPr>
          <w:rFonts w:ascii="Times New Roman" w:hAnsi="Times New Roman" w:eastAsia="仿宋"/>
          <w:sz w:val="24"/>
          <w:szCs w:val="24"/>
        </w:rPr>
        <w:t>- 17 -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_Toc29936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第四节 发展目标</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_Toc29936 \h </w:instrText>
      </w:r>
      <w:r>
        <w:rPr>
          <w:rFonts w:ascii="Times New Roman" w:hAnsi="Times New Roman" w:eastAsia="仿宋"/>
          <w:sz w:val="24"/>
          <w:szCs w:val="24"/>
        </w:rPr>
        <w:fldChar w:fldCharType="separate"/>
      </w:r>
      <w:r>
        <w:rPr>
          <w:rFonts w:ascii="Times New Roman" w:hAnsi="Times New Roman" w:eastAsia="仿宋"/>
          <w:sz w:val="24"/>
          <w:szCs w:val="24"/>
        </w:rPr>
        <w:t>- 19 -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1"/>
        <w:tabs>
          <w:tab w:val="right" w:leader="dot" w:pos="8306"/>
          <w:tab w:val="clear" w:pos="8296"/>
        </w:tabs>
        <w:spacing w:line="312" w:lineRule="auto"/>
        <w:rPr>
          <w:rFonts w:ascii="Times New Roman" w:hAnsi="Times New Roman" w:eastAsia="仿宋" w:cs="Times New Roman"/>
          <w:sz w:val="24"/>
          <w:szCs w:val="24"/>
        </w:rPr>
      </w:pPr>
      <w:r>
        <w:rPr>
          <w:rFonts w:ascii="Times New Roman" w:hAnsi="Times New Roman" w:eastAsia="仿宋" w:cs="Times New Roman"/>
          <w:color w:val="FF0000"/>
          <w:sz w:val="24"/>
          <w:szCs w:val="24"/>
        </w:rPr>
        <w:fldChar w:fldCharType="begin"/>
      </w:r>
      <w:r>
        <w:rPr>
          <w:rFonts w:ascii="Times New Roman" w:hAnsi="Times New Roman" w:eastAsia="仿宋" w:cs="Times New Roman"/>
          <w:sz w:val="24"/>
          <w:szCs w:val="24"/>
        </w:rPr>
        <w:instrText xml:space="preserve"> HYPERLINK \l _Toc11775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第三章 有序开发，谋划全域旅游发展新布局</w:t>
      </w:r>
      <w:r>
        <w:rPr>
          <w:rFonts w:ascii="Times New Roman" w:hAnsi="Times New Roman" w:eastAsia="仿宋" w:cs="Times New Roman"/>
          <w:sz w:val="24"/>
          <w:szCs w:val="24"/>
        </w:rPr>
        <w:tab/>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PAGEREF _Toc11775 \h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- 21 -</w:t>
      </w:r>
      <w:r>
        <w:rPr>
          <w:rFonts w:ascii="Times New Roman" w:hAnsi="Times New Roman" w:eastAsia="仿宋" w:cs="Times New Roman"/>
          <w:sz w:val="24"/>
          <w:szCs w:val="24"/>
        </w:rPr>
        <w:fldChar w:fldCharType="end"/>
      </w:r>
      <w:r>
        <w:rPr>
          <w:rFonts w:ascii="Times New Roman" w:hAnsi="Times New Roman" w:eastAsia="仿宋" w:cs="Times New Roman"/>
          <w:color w:val="FF000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_Toc4447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第一节 空间发展策略</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_Toc4447 \h </w:instrText>
      </w:r>
      <w:r>
        <w:rPr>
          <w:rFonts w:ascii="Times New Roman" w:hAnsi="Times New Roman" w:eastAsia="仿宋"/>
          <w:sz w:val="24"/>
          <w:szCs w:val="24"/>
        </w:rPr>
        <w:fldChar w:fldCharType="separate"/>
      </w:r>
      <w:r>
        <w:rPr>
          <w:rFonts w:ascii="Times New Roman" w:hAnsi="Times New Roman" w:eastAsia="仿宋"/>
          <w:sz w:val="24"/>
          <w:szCs w:val="24"/>
        </w:rPr>
        <w:t>- 21 -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_Toc6853 </w:instrText>
      </w:r>
      <w:r>
        <w:rPr>
          <w:rFonts w:ascii="Times New Roman" w:hAnsi="Times New Roman" w:eastAsia="仿宋"/>
          <w:kern w:val="0"/>
          <w:szCs w:val="24"/>
        </w:rPr>
        <w:fldChar w:fldCharType="separate"/>
      </w:r>
      <w:r>
        <w:rPr>
          <w:rFonts w:ascii="Times New Roman" w:hAnsi="Times New Roman" w:eastAsia="仿宋"/>
          <w:szCs w:val="24"/>
        </w:rPr>
        <w:t>一、积极融入黄河流域高质量发展战略</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_Toc6853 \h </w:instrText>
      </w:r>
      <w:r>
        <w:rPr>
          <w:rFonts w:ascii="Times New Roman" w:hAnsi="Times New Roman" w:eastAsia="仿宋"/>
          <w:szCs w:val="24"/>
        </w:rPr>
        <w:fldChar w:fldCharType="separate"/>
      </w:r>
      <w:r>
        <w:rPr>
          <w:rFonts w:ascii="Times New Roman" w:hAnsi="Times New Roman" w:eastAsia="仿宋"/>
          <w:szCs w:val="24"/>
        </w:rPr>
        <w:t>- 21 -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_Toc1650 </w:instrText>
      </w:r>
      <w:r>
        <w:rPr>
          <w:rFonts w:ascii="Times New Roman" w:hAnsi="Times New Roman" w:eastAsia="仿宋"/>
          <w:kern w:val="0"/>
          <w:szCs w:val="24"/>
        </w:rPr>
        <w:fldChar w:fldCharType="separate"/>
      </w:r>
      <w:r>
        <w:rPr>
          <w:rFonts w:ascii="Times New Roman" w:hAnsi="Times New Roman" w:eastAsia="仿宋"/>
          <w:szCs w:val="24"/>
        </w:rPr>
        <w:t>二、区域联动打造银川都市圈“后花园”</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_Toc1650 \h </w:instrText>
      </w:r>
      <w:r>
        <w:rPr>
          <w:rFonts w:ascii="Times New Roman" w:hAnsi="Times New Roman" w:eastAsia="仿宋"/>
          <w:szCs w:val="24"/>
        </w:rPr>
        <w:fldChar w:fldCharType="separate"/>
      </w:r>
      <w:r>
        <w:rPr>
          <w:rFonts w:ascii="Times New Roman" w:hAnsi="Times New Roman" w:eastAsia="仿宋"/>
          <w:szCs w:val="24"/>
        </w:rPr>
        <w:t>- 21 -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_Toc1151 </w:instrText>
      </w:r>
      <w:r>
        <w:rPr>
          <w:rFonts w:ascii="Times New Roman" w:hAnsi="Times New Roman" w:eastAsia="仿宋"/>
          <w:kern w:val="0"/>
          <w:szCs w:val="24"/>
        </w:rPr>
        <w:fldChar w:fldCharType="separate"/>
      </w:r>
      <w:r>
        <w:rPr>
          <w:rFonts w:ascii="Times New Roman" w:hAnsi="Times New Roman" w:eastAsia="仿宋"/>
          <w:szCs w:val="24"/>
        </w:rPr>
        <w:t>三、协同推进旅游产业利青一体化发展</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_Toc1151 \h </w:instrText>
      </w:r>
      <w:r>
        <w:rPr>
          <w:rFonts w:ascii="Times New Roman" w:hAnsi="Times New Roman" w:eastAsia="仿宋"/>
          <w:szCs w:val="24"/>
        </w:rPr>
        <w:fldChar w:fldCharType="separate"/>
      </w:r>
      <w:r>
        <w:rPr>
          <w:rFonts w:ascii="Times New Roman" w:hAnsi="Times New Roman" w:eastAsia="仿宋"/>
          <w:szCs w:val="24"/>
        </w:rPr>
        <w:t>- 21 -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_Toc32011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第二节 全域空间结构</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_Toc32011 \h </w:instrText>
      </w:r>
      <w:r>
        <w:rPr>
          <w:rFonts w:ascii="Times New Roman" w:hAnsi="Times New Roman" w:eastAsia="仿宋"/>
          <w:sz w:val="24"/>
          <w:szCs w:val="24"/>
        </w:rPr>
        <w:fldChar w:fldCharType="separate"/>
      </w:r>
      <w:r>
        <w:rPr>
          <w:rFonts w:ascii="Times New Roman" w:hAnsi="Times New Roman" w:eastAsia="仿宋"/>
          <w:sz w:val="24"/>
          <w:szCs w:val="24"/>
        </w:rPr>
        <w:t>- 22 -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_Toc22913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第三节 空间布局规划</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_Toc22913 \h </w:instrText>
      </w:r>
      <w:r>
        <w:rPr>
          <w:rFonts w:ascii="Times New Roman" w:hAnsi="Times New Roman" w:eastAsia="仿宋"/>
          <w:sz w:val="24"/>
          <w:szCs w:val="24"/>
        </w:rPr>
        <w:fldChar w:fldCharType="separate"/>
      </w:r>
      <w:r>
        <w:rPr>
          <w:rFonts w:ascii="Times New Roman" w:hAnsi="Times New Roman" w:eastAsia="仿宋"/>
          <w:sz w:val="24"/>
          <w:szCs w:val="24"/>
        </w:rPr>
        <w:t>- 22 -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_Toc22335 </w:instrText>
      </w:r>
      <w:r>
        <w:rPr>
          <w:rFonts w:ascii="Times New Roman" w:hAnsi="Times New Roman" w:eastAsia="仿宋"/>
          <w:kern w:val="0"/>
          <w:szCs w:val="24"/>
        </w:rPr>
        <w:fldChar w:fldCharType="separate"/>
      </w:r>
      <w:r>
        <w:rPr>
          <w:rFonts w:ascii="Times New Roman" w:hAnsi="Times New Roman" w:eastAsia="仿宋"/>
          <w:szCs w:val="24"/>
        </w:rPr>
        <w:t>一、黄河岸边生态景观带</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_Toc22335 \h </w:instrText>
      </w:r>
      <w:r>
        <w:rPr>
          <w:rFonts w:ascii="Times New Roman" w:hAnsi="Times New Roman" w:eastAsia="仿宋"/>
          <w:szCs w:val="24"/>
        </w:rPr>
        <w:fldChar w:fldCharType="separate"/>
      </w:r>
      <w:r>
        <w:rPr>
          <w:rFonts w:ascii="Times New Roman" w:hAnsi="Times New Roman" w:eastAsia="仿宋"/>
          <w:szCs w:val="24"/>
        </w:rPr>
        <w:t>- 22 -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_Toc13397 </w:instrText>
      </w:r>
      <w:r>
        <w:rPr>
          <w:rFonts w:ascii="Times New Roman" w:hAnsi="Times New Roman" w:eastAsia="仿宋"/>
          <w:kern w:val="0"/>
          <w:szCs w:val="24"/>
        </w:rPr>
        <w:fldChar w:fldCharType="separate"/>
      </w:r>
      <w:r>
        <w:rPr>
          <w:rFonts w:ascii="Times New Roman" w:hAnsi="Times New Roman" w:eastAsia="仿宋"/>
          <w:szCs w:val="24"/>
        </w:rPr>
        <w:t>二、牛首山工业旅游带</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_Toc13397 \h </w:instrText>
      </w:r>
      <w:r>
        <w:rPr>
          <w:rFonts w:ascii="Times New Roman" w:hAnsi="Times New Roman" w:eastAsia="仿宋"/>
          <w:szCs w:val="24"/>
        </w:rPr>
        <w:fldChar w:fldCharType="separate"/>
      </w:r>
      <w:r>
        <w:rPr>
          <w:rFonts w:ascii="Times New Roman" w:hAnsi="Times New Roman" w:eastAsia="仿宋"/>
          <w:szCs w:val="24"/>
        </w:rPr>
        <w:t>- 25 -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_Toc11029 </w:instrText>
      </w:r>
      <w:r>
        <w:rPr>
          <w:rFonts w:ascii="Times New Roman" w:hAnsi="Times New Roman" w:eastAsia="仿宋"/>
          <w:kern w:val="0"/>
          <w:szCs w:val="24"/>
        </w:rPr>
        <w:fldChar w:fldCharType="separate"/>
      </w:r>
      <w:r>
        <w:rPr>
          <w:rFonts w:ascii="Times New Roman" w:hAnsi="Times New Roman" w:eastAsia="仿宋"/>
          <w:szCs w:val="24"/>
        </w:rPr>
        <w:t>三、稻花香里休闲观光带</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_Toc11029 \h </w:instrText>
      </w:r>
      <w:r>
        <w:rPr>
          <w:rFonts w:ascii="Times New Roman" w:hAnsi="Times New Roman" w:eastAsia="仿宋"/>
          <w:szCs w:val="24"/>
        </w:rPr>
        <w:fldChar w:fldCharType="separate"/>
      </w:r>
      <w:r>
        <w:rPr>
          <w:rFonts w:ascii="Times New Roman" w:hAnsi="Times New Roman" w:eastAsia="仿宋"/>
          <w:szCs w:val="24"/>
        </w:rPr>
        <w:t>- 26 -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_Toc10750 </w:instrText>
      </w:r>
      <w:r>
        <w:rPr>
          <w:rFonts w:ascii="Times New Roman" w:hAnsi="Times New Roman" w:eastAsia="仿宋"/>
          <w:kern w:val="0"/>
          <w:szCs w:val="24"/>
        </w:rPr>
        <w:fldChar w:fldCharType="separate"/>
      </w:r>
      <w:r>
        <w:rPr>
          <w:rFonts w:ascii="Times New Roman" w:hAnsi="Times New Roman" w:eastAsia="仿宋"/>
          <w:szCs w:val="24"/>
        </w:rPr>
        <w:t>四、贺兰山下紫色文化长廊</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_Toc10750 \h </w:instrText>
      </w:r>
      <w:r>
        <w:rPr>
          <w:rFonts w:ascii="Times New Roman" w:hAnsi="Times New Roman" w:eastAsia="仿宋"/>
          <w:szCs w:val="24"/>
        </w:rPr>
        <w:fldChar w:fldCharType="separate"/>
      </w:r>
      <w:r>
        <w:rPr>
          <w:rFonts w:ascii="Times New Roman" w:hAnsi="Times New Roman" w:eastAsia="仿宋"/>
          <w:szCs w:val="24"/>
        </w:rPr>
        <w:t>- 27 -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1"/>
        <w:tabs>
          <w:tab w:val="right" w:leader="dot" w:pos="8306"/>
          <w:tab w:val="clear" w:pos="8296"/>
        </w:tabs>
        <w:spacing w:line="312" w:lineRule="auto"/>
        <w:rPr>
          <w:rFonts w:ascii="Times New Roman" w:hAnsi="Times New Roman" w:eastAsia="仿宋" w:cs="Times New Roman"/>
          <w:sz w:val="24"/>
          <w:szCs w:val="24"/>
        </w:rPr>
      </w:pPr>
      <w:r>
        <w:rPr>
          <w:rFonts w:ascii="Times New Roman" w:hAnsi="Times New Roman" w:eastAsia="仿宋" w:cs="Times New Roman"/>
          <w:color w:val="FF0000"/>
          <w:sz w:val="24"/>
          <w:szCs w:val="24"/>
        </w:rPr>
        <w:fldChar w:fldCharType="begin"/>
      </w:r>
      <w:r>
        <w:rPr>
          <w:rFonts w:ascii="Times New Roman" w:hAnsi="Times New Roman" w:eastAsia="仿宋" w:cs="Times New Roman"/>
          <w:sz w:val="24"/>
          <w:szCs w:val="24"/>
        </w:rPr>
        <w:instrText xml:space="preserve"> HYPERLINK \l _Toc7217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第四章 创新提升，推进旅游高质量发展新任务</w:t>
      </w:r>
      <w:r>
        <w:rPr>
          <w:rFonts w:ascii="Times New Roman" w:hAnsi="Times New Roman" w:eastAsia="仿宋" w:cs="Times New Roman"/>
          <w:sz w:val="24"/>
          <w:szCs w:val="24"/>
        </w:rPr>
        <w:tab/>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PAGEREF _Toc7217 \h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- 30 -</w:t>
      </w:r>
      <w:r>
        <w:rPr>
          <w:rFonts w:ascii="Times New Roman" w:hAnsi="Times New Roman" w:eastAsia="仿宋" w:cs="Times New Roman"/>
          <w:sz w:val="24"/>
          <w:szCs w:val="24"/>
        </w:rPr>
        <w:fldChar w:fldCharType="end"/>
      </w:r>
      <w:r>
        <w:rPr>
          <w:rFonts w:ascii="Times New Roman" w:hAnsi="Times New Roman" w:eastAsia="仿宋" w:cs="Times New Roman"/>
          <w:color w:val="FF000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_Toc28544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第一节 巩固提升旅游融合发展新业态</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_Toc28544 \h </w:instrText>
      </w:r>
      <w:r>
        <w:rPr>
          <w:rFonts w:ascii="Times New Roman" w:hAnsi="Times New Roman" w:eastAsia="仿宋"/>
          <w:sz w:val="24"/>
          <w:szCs w:val="24"/>
        </w:rPr>
        <w:fldChar w:fldCharType="separate"/>
      </w:r>
      <w:r>
        <w:rPr>
          <w:rFonts w:ascii="Times New Roman" w:hAnsi="Times New Roman" w:eastAsia="仿宋"/>
          <w:sz w:val="24"/>
          <w:szCs w:val="24"/>
        </w:rPr>
        <w:t>- 30 -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_Toc21456 </w:instrText>
      </w:r>
      <w:r>
        <w:rPr>
          <w:rFonts w:ascii="Times New Roman" w:hAnsi="Times New Roman" w:eastAsia="仿宋"/>
          <w:kern w:val="0"/>
          <w:szCs w:val="24"/>
        </w:rPr>
        <w:fldChar w:fldCharType="separate"/>
      </w:r>
      <w:r>
        <w:rPr>
          <w:rFonts w:ascii="Times New Roman" w:hAnsi="Times New Roman" w:eastAsia="仿宋"/>
          <w:szCs w:val="24"/>
        </w:rPr>
        <w:t>一、旅游+乡村：乡村休闲旅游产品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_Toc21456 \h </w:instrText>
      </w:r>
      <w:r>
        <w:rPr>
          <w:rFonts w:ascii="Times New Roman" w:hAnsi="Times New Roman" w:eastAsia="仿宋"/>
          <w:szCs w:val="24"/>
        </w:rPr>
        <w:fldChar w:fldCharType="separate"/>
      </w:r>
      <w:r>
        <w:rPr>
          <w:rFonts w:ascii="Times New Roman" w:hAnsi="Times New Roman" w:eastAsia="仿宋"/>
          <w:szCs w:val="24"/>
        </w:rPr>
        <w:t>- 30 -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_Toc14423 </w:instrText>
      </w:r>
      <w:r>
        <w:rPr>
          <w:rFonts w:ascii="Times New Roman" w:hAnsi="Times New Roman" w:eastAsia="仿宋"/>
          <w:kern w:val="0"/>
          <w:szCs w:val="24"/>
        </w:rPr>
        <w:fldChar w:fldCharType="separate"/>
      </w:r>
      <w:r>
        <w:rPr>
          <w:rFonts w:ascii="Times New Roman" w:hAnsi="Times New Roman" w:eastAsia="仿宋"/>
          <w:szCs w:val="24"/>
        </w:rPr>
        <w:t>二、旅游+文化：文化体验旅游产品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_Toc14423 \h </w:instrText>
      </w:r>
      <w:r>
        <w:rPr>
          <w:rFonts w:ascii="Times New Roman" w:hAnsi="Times New Roman" w:eastAsia="仿宋"/>
          <w:szCs w:val="24"/>
        </w:rPr>
        <w:fldChar w:fldCharType="separate"/>
      </w:r>
      <w:r>
        <w:rPr>
          <w:rFonts w:ascii="Times New Roman" w:hAnsi="Times New Roman" w:eastAsia="仿宋"/>
          <w:szCs w:val="24"/>
        </w:rPr>
        <w:t>- 30 -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_Toc4554 </w:instrText>
      </w:r>
      <w:r>
        <w:rPr>
          <w:rFonts w:ascii="Times New Roman" w:hAnsi="Times New Roman" w:eastAsia="仿宋"/>
          <w:kern w:val="0"/>
          <w:szCs w:val="24"/>
        </w:rPr>
        <w:fldChar w:fldCharType="separate"/>
      </w:r>
      <w:r>
        <w:rPr>
          <w:rFonts w:ascii="Times New Roman" w:hAnsi="Times New Roman" w:eastAsia="仿宋"/>
          <w:szCs w:val="24"/>
        </w:rPr>
        <w:t>三、旅游+教育：研学教育旅行产品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_Toc4554 \h </w:instrText>
      </w:r>
      <w:r>
        <w:rPr>
          <w:rFonts w:ascii="Times New Roman" w:hAnsi="Times New Roman" w:eastAsia="仿宋"/>
          <w:szCs w:val="24"/>
        </w:rPr>
        <w:fldChar w:fldCharType="separate"/>
      </w:r>
      <w:r>
        <w:rPr>
          <w:rFonts w:ascii="Times New Roman" w:hAnsi="Times New Roman" w:eastAsia="仿宋"/>
          <w:szCs w:val="24"/>
        </w:rPr>
        <w:t>- 31 -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_Toc32266 </w:instrText>
      </w:r>
      <w:r>
        <w:rPr>
          <w:rFonts w:ascii="Times New Roman" w:hAnsi="Times New Roman" w:eastAsia="仿宋"/>
          <w:kern w:val="0"/>
          <w:szCs w:val="24"/>
        </w:rPr>
        <w:fldChar w:fldCharType="separate"/>
      </w:r>
      <w:r>
        <w:rPr>
          <w:rFonts w:ascii="Times New Roman" w:hAnsi="Times New Roman" w:eastAsia="仿宋"/>
          <w:szCs w:val="24"/>
        </w:rPr>
        <w:t>四、旅游+工业：水电工业旅游产品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_Toc32266 \h </w:instrText>
      </w:r>
      <w:r>
        <w:rPr>
          <w:rFonts w:ascii="Times New Roman" w:hAnsi="Times New Roman" w:eastAsia="仿宋"/>
          <w:szCs w:val="24"/>
        </w:rPr>
        <w:fldChar w:fldCharType="separate"/>
      </w:r>
      <w:r>
        <w:rPr>
          <w:rFonts w:ascii="Times New Roman" w:hAnsi="Times New Roman" w:eastAsia="仿宋"/>
          <w:szCs w:val="24"/>
        </w:rPr>
        <w:t>- 32 -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_Toc26223 </w:instrText>
      </w:r>
      <w:r>
        <w:rPr>
          <w:rFonts w:ascii="Times New Roman" w:hAnsi="Times New Roman" w:eastAsia="仿宋"/>
          <w:kern w:val="0"/>
          <w:szCs w:val="24"/>
        </w:rPr>
        <w:fldChar w:fldCharType="separate"/>
      </w:r>
      <w:r>
        <w:rPr>
          <w:rFonts w:ascii="Times New Roman" w:hAnsi="Times New Roman" w:eastAsia="仿宋"/>
          <w:szCs w:val="24"/>
        </w:rPr>
        <w:t>五、旅游+养生：康体养生旅游产品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_Toc26223 \h </w:instrText>
      </w:r>
      <w:r>
        <w:rPr>
          <w:rFonts w:ascii="Times New Roman" w:hAnsi="Times New Roman" w:eastAsia="仿宋"/>
          <w:szCs w:val="24"/>
        </w:rPr>
        <w:fldChar w:fldCharType="separate"/>
      </w:r>
      <w:r>
        <w:rPr>
          <w:rFonts w:ascii="Times New Roman" w:hAnsi="Times New Roman" w:eastAsia="仿宋"/>
          <w:szCs w:val="24"/>
        </w:rPr>
        <w:t>- 32 -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_Toc8449 </w:instrText>
      </w:r>
      <w:r>
        <w:rPr>
          <w:rFonts w:ascii="Times New Roman" w:hAnsi="Times New Roman" w:eastAsia="仿宋"/>
          <w:kern w:val="0"/>
          <w:szCs w:val="24"/>
        </w:rPr>
        <w:fldChar w:fldCharType="separate"/>
      </w:r>
      <w:r>
        <w:rPr>
          <w:rFonts w:ascii="Times New Roman" w:hAnsi="Times New Roman" w:eastAsia="仿宋"/>
          <w:szCs w:val="24"/>
        </w:rPr>
        <w:t>六、旅游+交通：慢游休闲旅游产品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_Toc8449 \h </w:instrText>
      </w:r>
      <w:r>
        <w:rPr>
          <w:rFonts w:ascii="Times New Roman" w:hAnsi="Times New Roman" w:eastAsia="仿宋"/>
          <w:szCs w:val="24"/>
        </w:rPr>
        <w:fldChar w:fldCharType="separate"/>
      </w:r>
      <w:r>
        <w:rPr>
          <w:rFonts w:ascii="Times New Roman" w:hAnsi="Times New Roman" w:eastAsia="仿宋"/>
          <w:szCs w:val="24"/>
        </w:rPr>
        <w:t>- 34 -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_Toc25720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第二节 加快推进三大特色品牌建设新计划</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_Toc25720 \h </w:instrText>
      </w:r>
      <w:r>
        <w:rPr>
          <w:rFonts w:ascii="Times New Roman" w:hAnsi="Times New Roman" w:eastAsia="仿宋"/>
          <w:sz w:val="24"/>
          <w:szCs w:val="24"/>
        </w:rPr>
        <w:fldChar w:fldCharType="separate"/>
      </w:r>
      <w:r>
        <w:rPr>
          <w:rFonts w:ascii="Times New Roman" w:hAnsi="Times New Roman" w:eastAsia="仿宋"/>
          <w:sz w:val="24"/>
          <w:szCs w:val="24"/>
        </w:rPr>
        <w:t>- 34 -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_Toc5435 </w:instrText>
      </w:r>
      <w:r>
        <w:rPr>
          <w:rFonts w:ascii="Times New Roman" w:hAnsi="Times New Roman" w:eastAsia="仿宋"/>
          <w:kern w:val="0"/>
          <w:szCs w:val="24"/>
        </w:rPr>
        <w:fldChar w:fldCharType="separate"/>
      </w:r>
      <w:r>
        <w:rPr>
          <w:rFonts w:ascii="Times New Roman" w:hAnsi="Times New Roman" w:eastAsia="仿宋"/>
          <w:szCs w:val="24"/>
        </w:rPr>
        <w:t>一、做靓“水工文化”，打响“黄河十里长峡”品牌</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_Toc5435 \h </w:instrText>
      </w:r>
      <w:r>
        <w:rPr>
          <w:rFonts w:ascii="Times New Roman" w:hAnsi="Times New Roman" w:eastAsia="仿宋"/>
          <w:szCs w:val="24"/>
        </w:rPr>
        <w:fldChar w:fldCharType="separate"/>
      </w:r>
      <w:r>
        <w:rPr>
          <w:rFonts w:ascii="Times New Roman" w:hAnsi="Times New Roman" w:eastAsia="仿宋"/>
          <w:szCs w:val="24"/>
        </w:rPr>
        <w:t>- 34 -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_Toc21354 </w:instrText>
      </w:r>
      <w:r>
        <w:rPr>
          <w:rFonts w:ascii="Times New Roman" w:hAnsi="Times New Roman" w:eastAsia="仿宋"/>
          <w:kern w:val="0"/>
          <w:szCs w:val="24"/>
        </w:rPr>
        <w:fldChar w:fldCharType="separate"/>
      </w:r>
      <w:r>
        <w:rPr>
          <w:rFonts w:ascii="Times New Roman" w:hAnsi="Times New Roman" w:eastAsia="仿宋"/>
          <w:szCs w:val="24"/>
        </w:rPr>
        <w:t>二、做实“农耕文化”，打响“汉唐古渠第一村”品牌</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_Toc21354 \h </w:instrText>
      </w:r>
      <w:r>
        <w:rPr>
          <w:rFonts w:ascii="Times New Roman" w:hAnsi="Times New Roman" w:eastAsia="仿宋"/>
          <w:szCs w:val="24"/>
        </w:rPr>
        <w:fldChar w:fldCharType="separate"/>
      </w:r>
      <w:r>
        <w:rPr>
          <w:rFonts w:ascii="Times New Roman" w:hAnsi="Times New Roman" w:eastAsia="仿宋"/>
          <w:szCs w:val="24"/>
        </w:rPr>
        <w:t>- 35 -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_Toc8611 </w:instrText>
      </w:r>
      <w:r>
        <w:rPr>
          <w:rFonts w:ascii="Times New Roman" w:hAnsi="Times New Roman" w:eastAsia="仿宋"/>
          <w:kern w:val="0"/>
          <w:szCs w:val="24"/>
        </w:rPr>
        <w:fldChar w:fldCharType="separate"/>
      </w:r>
      <w:r>
        <w:rPr>
          <w:rFonts w:ascii="Times New Roman" w:hAnsi="Times New Roman" w:eastAsia="仿宋"/>
          <w:spacing w:val="-11"/>
          <w:szCs w:val="24"/>
        </w:rPr>
        <w:t>三、做深“葡萄</w:t>
      </w:r>
      <w:r>
        <w:rPr>
          <w:rFonts w:hint="eastAsia" w:ascii="Times New Roman" w:hAnsi="Times New Roman" w:eastAsia="仿宋"/>
          <w:spacing w:val="-11"/>
          <w:szCs w:val="24"/>
          <w:lang w:eastAsia="zh-CN"/>
        </w:rPr>
        <w:t>酒</w:t>
      </w:r>
      <w:r>
        <w:rPr>
          <w:rFonts w:ascii="Times New Roman" w:hAnsi="Times New Roman" w:eastAsia="仿宋"/>
          <w:spacing w:val="-11"/>
          <w:szCs w:val="24"/>
        </w:rPr>
        <w:t>文化”，打响“中国酿酒葡萄之乡”品牌</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_Toc8611 \h </w:instrText>
      </w:r>
      <w:r>
        <w:rPr>
          <w:rFonts w:ascii="Times New Roman" w:hAnsi="Times New Roman" w:eastAsia="仿宋"/>
          <w:szCs w:val="24"/>
        </w:rPr>
        <w:fldChar w:fldCharType="separate"/>
      </w:r>
      <w:r>
        <w:rPr>
          <w:rFonts w:ascii="Times New Roman" w:hAnsi="Times New Roman" w:eastAsia="仿宋"/>
          <w:szCs w:val="24"/>
        </w:rPr>
        <w:t>- 35 -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_Toc28183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第三节 培育拓展“青铜峡之夜”旅游新IP</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_Toc28183 \h </w:instrText>
      </w:r>
      <w:r>
        <w:rPr>
          <w:rFonts w:ascii="Times New Roman" w:hAnsi="Times New Roman" w:eastAsia="仿宋"/>
          <w:sz w:val="24"/>
          <w:szCs w:val="24"/>
        </w:rPr>
        <w:fldChar w:fldCharType="separate"/>
      </w:r>
      <w:r>
        <w:rPr>
          <w:rFonts w:ascii="Times New Roman" w:hAnsi="Times New Roman" w:eastAsia="仿宋"/>
          <w:sz w:val="24"/>
          <w:szCs w:val="24"/>
        </w:rPr>
        <w:t>- 36 -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_Toc12046 </w:instrText>
      </w:r>
      <w:r>
        <w:rPr>
          <w:rFonts w:ascii="Times New Roman" w:hAnsi="Times New Roman" w:eastAsia="仿宋"/>
          <w:kern w:val="0"/>
          <w:szCs w:val="24"/>
        </w:rPr>
        <w:fldChar w:fldCharType="separate"/>
      </w:r>
      <w:r>
        <w:rPr>
          <w:rFonts w:ascii="Times New Roman" w:hAnsi="Times New Roman" w:eastAsia="仿宋"/>
          <w:szCs w:val="24"/>
        </w:rPr>
        <w:t>一、点亮夜间文旅示范商业街区</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_Toc12046 \h </w:instrText>
      </w:r>
      <w:r>
        <w:rPr>
          <w:rFonts w:ascii="Times New Roman" w:hAnsi="Times New Roman" w:eastAsia="仿宋"/>
          <w:szCs w:val="24"/>
        </w:rPr>
        <w:fldChar w:fldCharType="separate"/>
      </w:r>
      <w:r>
        <w:rPr>
          <w:rFonts w:ascii="Times New Roman" w:hAnsi="Times New Roman" w:eastAsia="仿宋"/>
          <w:szCs w:val="24"/>
        </w:rPr>
        <w:t>- 36 -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_Toc22052 </w:instrText>
      </w:r>
      <w:r>
        <w:rPr>
          <w:rFonts w:ascii="Times New Roman" w:hAnsi="Times New Roman" w:eastAsia="仿宋"/>
          <w:kern w:val="0"/>
          <w:szCs w:val="24"/>
        </w:rPr>
        <w:fldChar w:fldCharType="separate"/>
      </w:r>
      <w:r>
        <w:rPr>
          <w:rFonts w:ascii="Times New Roman" w:hAnsi="Times New Roman" w:eastAsia="仿宋"/>
          <w:szCs w:val="24"/>
        </w:rPr>
        <w:t>二、创新夜间演艺娱乐旅游产品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_Toc22052 \h </w:instrText>
      </w:r>
      <w:r>
        <w:rPr>
          <w:rFonts w:ascii="Times New Roman" w:hAnsi="Times New Roman" w:eastAsia="仿宋"/>
          <w:szCs w:val="24"/>
        </w:rPr>
        <w:fldChar w:fldCharType="separate"/>
      </w:r>
      <w:r>
        <w:rPr>
          <w:rFonts w:ascii="Times New Roman" w:hAnsi="Times New Roman" w:eastAsia="仿宋"/>
          <w:szCs w:val="24"/>
        </w:rPr>
        <w:t>- 36 -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_Toc19496 </w:instrText>
      </w:r>
      <w:r>
        <w:rPr>
          <w:rFonts w:ascii="Times New Roman" w:hAnsi="Times New Roman" w:eastAsia="仿宋"/>
          <w:kern w:val="0"/>
          <w:szCs w:val="24"/>
        </w:rPr>
        <w:fldChar w:fldCharType="separate"/>
      </w:r>
      <w:r>
        <w:rPr>
          <w:rFonts w:ascii="Times New Roman" w:hAnsi="Times New Roman" w:eastAsia="仿宋"/>
          <w:szCs w:val="24"/>
        </w:rPr>
        <w:t>三、拓展夜间参与体验旅游产品</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_Toc19496 \h </w:instrText>
      </w:r>
      <w:r>
        <w:rPr>
          <w:rFonts w:ascii="Times New Roman" w:hAnsi="Times New Roman" w:eastAsia="仿宋"/>
          <w:szCs w:val="24"/>
        </w:rPr>
        <w:fldChar w:fldCharType="separate"/>
      </w:r>
      <w:r>
        <w:rPr>
          <w:rFonts w:ascii="Times New Roman" w:hAnsi="Times New Roman" w:eastAsia="仿宋"/>
          <w:szCs w:val="24"/>
        </w:rPr>
        <w:t>- 36 -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_Toc27832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第四节 着力构建“多维配套”旅游服务新体系</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_Toc27832 \h </w:instrText>
      </w:r>
      <w:r>
        <w:rPr>
          <w:rFonts w:ascii="Times New Roman" w:hAnsi="Times New Roman" w:eastAsia="仿宋"/>
          <w:sz w:val="24"/>
          <w:szCs w:val="24"/>
        </w:rPr>
        <w:fldChar w:fldCharType="separate"/>
      </w:r>
      <w:r>
        <w:rPr>
          <w:rFonts w:ascii="Times New Roman" w:hAnsi="Times New Roman" w:eastAsia="仿宋"/>
          <w:sz w:val="24"/>
          <w:szCs w:val="24"/>
        </w:rPr>
        <w:t>- 37 -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_Toc30177 </w:instrText>
      </w:r>
      <w:r>
        <w:rPr>
          <w:rFonts w:ascii="Times New Roman" w:hAnsi="Times New Roman" w:eastAsia="仿宋"/>
          <w:kern w:val="0"/>
          <w:szCs w:val="24"/>
        </w:rPr>
        <w:fldChar w:fldCharType="separate"/>
      </w:r>
      <w:r>
        <w:rPr>
          <w:rFonts w:ascii="Times New Roman" w:hAnsi="Times New Roman" w:eastAsia="仿宋"/>
          <w:szCs w:val="24"/>
        </w:rPr>
        <w:t>一、优化完善旅游住宿结构</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_Toc30177 \h </w:instrText>
      </w:r>
      <w:r>
        <w:rPr>
          <w:rFonts w:ascii="Times New Roman" w:hAnsi="Times New Roman" w:eastAsia="仿宋"/>
          <w:szCs w:val="24"/>
        </w:rPr>
        <w:fldChar w:fldCharType="separate"/>
      </w:r>
      <w:r>
        <w:rPr>
          <w:rFonts w:ascii="Times New Roman" w:hAnsi="Times New Roman" w:eastAsia="仿宋"/>
          <w:szCs w:val="24"/>
        </w:rPr>
        <w:t>- 37 -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_Toc458 </w:instrText>
      </w:r>
      <w:r>
        <w:rPr>
          <w:rFonts w:ascii="Times New Roman" w:hAnsi="Times New Roman" w:eastAsia="仿宋"/>
          <w:kern w:val="0"/>
          <w:szCs w:val="24"/>
        </w:rPr>
        <w:fldChar w:fldCharType="separate"/>
      </w:r>
      <w:r>
        <w:rPr>
          <w:rFonts w:ascii="Times New Roman" w:hAnsi="Times New Roman" w:eastAsia="仿宋"/>
          <w:szCs w:val="24"/>
        </w:rPr>
        <w:t>二、培育提升特色餐饮产业</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_Toc458 \h </w:instrText>
      </w:r>
      <w:r>
        <w:rPr>
          <w:rFonts w:ascii="Times New Roman" w:hAnsi="Times New Roman" w:eastAsia="仿宋"/>
          <w:szCs w:val="24"/>
        </w:rPr>
        <w:fldChar w:fldCharType="separate"/>
      </w:r>
      <w:r>
        <w:rPr>
          <w:rFonts w:ascii="Times New Roman" w:hAnsi="Times New Roman" w:eastAsia="仿宋"/>
          <w:szCs w:val="24"/>
        </w:rPr>
        <w:t>- 38 -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_Toc28690 </w:instrText>
      </w:r>
      <w:r>
        <w:rPr>
          <w:rFonts w:ascii="Times New Roman" w:hAnsi="Times New Roman" w:eastAsia="仿宋"/>
          <w:kern w:val="0"/>
          <w:szCs w:val="24"/>
        </w:rPr>
        <w:fldChar w:fldCharType="separate"/>
      </w:r>
      <w:r>
        <w:rPr>
          <w:rFonts w:ascii="Times New Roman" w:hAnsi="Times New Roman" w:eastAsia="仿宋"/>
          <w:szCs w:val="24"/>
        </w:rPr>
        <w:t>三、促进旅游商品产业化发展</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_Toc28690 \h </w:instrText>
      </w:r>
      <w:r>
        <w:rPr>
          <w:rFonts w:ascii="Times New Roman" w:hAnsi="Times New Roman" w:eastAsia="仿宋"/>
          <w:szCs w:val="24"/>
        </w:rPr>
        <w:fldChar w:fldCharType="separate"/>
      </w:r>
      <w:r>
        <w:rPr>
          <w:rFonts w:ascii="Times New Roman" w:hAnsi="Times New Roman" w:eastAsia="仿宋"/>
          <w:szCs w:val="24"/>
        </w:rPr>
        <w:t>- 39 -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_Toc5793 </w:instrText>
      </w:r>
      <w:r>
        <w:rPr>
          <w:rFonts w:ascii="Times New Roman" w:hAnsi="Times New Roman" w:eastAsia="仿宋"/>
          <w:kern w:val="0"/>
          <w:szCs w:val="24"/>
        </w:rPr>
        <w:fldChar w:fldCharType="separate"/>
      </w:r>
      <w:r>
        <w:rPr>
          <w:rFonts w:ascii="Times New Roman" w:hAnsi="Times New Roman" w:eastAsia="仿宋"/>
          <w:szCs w:val="24"/>
        </w:rPr>
        <w:t>四、优化提升全流程旅游服务</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_Toc5793 \h </w:instrText>
      </w:r>
      <w:r>
        <w:rPr>
          <w:rFonts w:ascii="Times New Roman" w:hAnsi="Times New Roman" w:eastAsia="仿宋"/>
          <w:szCs w:val="24"/>
        </w:rPr>
        <w:fldChar w:fldCharType="separate"/>
      </w:r>
      <w:r>
        <w:rPr>
          <w:rFonts w:ascii="Times New Roman" w:hAnsi="Times New Roman" w:eastAsia="仿宋"/>
          <w:szCs w:val="24"/>
        </w:rPr>
        <w:t>- 40 -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_Toc6256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第五节 科技赋能驱动文旅业态新变革</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_Toc6256 \h </w:instrText>
      </w:r>
      <w:r>
        <w:rPr>
          <w:rFonts w:ascii="Times New Roman" w:hAnsi="Times New Roman" w:eastAsia="仿宋"/>
          <w:sz w:val="24"/>
          <w:szCs w:val="24"/>
        </w:rPr>
        <w:fldChar w:fldCharType="separate"/>
      </w:r>
      <w:r>
        <w:rPr>
          <w:rFonts w:ascii="Times New Roman" w:hAnsi="Times New Roman" w:eastAsia="仿宋"/>
          <w:sz w:val="24"/>
          <w:szCs w:val="24"/>
        </w:rPr>
        <w:t>- 43 -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_Toc5502 </w:instrText>
      </w:r>
      <w:r>
        <w:rPr>
          <w:rFonts w:ascii="Times New Roman" w:hAnsi="Times New Roman" w:eastAsia="仿宋"/>
          <w:kern w:val="0"/>
          <w:szCs w:val="24"/>
        </w:rPr>
        <w:fldChar w:fldCharType="separate"/>
      </w:r>
      <w:r>
        <w:rPr>
          <w:rFonts w:ascii="Times New Roman" w:hAnsi="Times New Roman" w:eastAsia="仿宋"/>
          <w:szCs w:val="24"/>
        </w:rPr>
        <w:t>一、推进文旅信息资源整合共享</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_Toc5502 \h </w:instrText>
      </w:r>
      <w:r>
        <w:rPr>
          <w:rFonts w:ascii="Times New Roman" w:hAnsi="Times New Roman" w:eastAsia="仿宋"/>
          <w:szCs w:val="24"/>
        </w:rPr>
        <w:fldChar w:fldCharType="separate"/>
      </w:r>
      <w:r>
        <w:rPr>
          <w:rFonts w:ascii="Times New Roman" w:hAnsi="Times New Roman" w:eastAsia="仿宋"/>
          <w:szCs w:val="24"/>
        </w:rPr>
        <w:t>- 43 -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_Toc11793 </w:instrText>
      </w:r>
      <w:r>
        <w:rPr>
          <w:rFonts w:ascii="Times New Roman" w:hAnsi="Times New Roman" w:eastAsia="仿宋"/>
          <w:kern w:val="0"/>
          <w:szCs w:val="24"/>
        </w:rPr>
        <w:fldChar w:fldCharType="separate"/>
      </w:r>
      <w:r>
        <w:rPr>
          <w:rFonts w:ascii="Times New Roman" w:hAnsi="Times New Roman" w:eastAsia="仿宋"/>
          <w:szCs w:val="24"/>
        </w:rPr>
        <w:t>二、推进文旅公共服务管理智慧化</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_Toc11793 \h </w:instrText>
      </w:r>
      <w:r>
        <w:rPr>
          <w:rFonts w:ascii="Times New Roman" w:hAnsi="Times New Roman" w:eastAsia="仿宋"/>
          <w:szCs w:val="24"/>
        </w:rPr>
        <w:fldChar w:fldCharType="separate"/>
      </w:r>
      <w:r>
        <w:rPr>
          <w:rFonts w:ascii="Times New Roman" w:hAnsi="Times New Roman" w:eastAsia="仿宋"/>
          <w:szCs w:val="24"/>
        </w:rPr>
        <w:t>- 43 -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_Toc12181 </w:instrText>
      </w:r>
      <w:r>
        <w:rPr>
          <w:rFonts w:ascii="Times New Roman" w:hAnsi="Times New Roman" w:eastAsia="仿宋"/>
          <w:kern w:val="0"/>
          <w:szCs w:val="24"/>
        </w:rPr>
        <w:fldChar w:fldCharType="separate"/>
      </w:r>
      <w:r>
        <w:rPr>
          <w:rFonts w:ascii="Times New Roman" w:hAnsi="Times New Roman" w:eastAsia="仿宋"/>
          <w:szCs w:val="24"/>
        </w:rPr>
        <w:t>三、推动文旅宣传营销智慧化</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_Toc12181 \h </w:instrText>
      </w:r>
      <w:r>
        <w:rPr>
          <w:rFonts w:ascii="Times New Roman" w:hAnsi="Times New Roman" w:eastAsia="仿宋"/>
          <w:szCs w:val="24"/>
        </w:rPr>
        <w:fldChar w:fldCharType="separate"/>
      </w:r>
      <w:r>
        <w:rPr>
          <w:rFonts w:ascii="Times New Roman" w:hAnsi="Times New Roman" w:eastAsia="仿宋"/>
          <w:szCs w:val="24"/>
        </w:rPr>
        <w:t>- 44 -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_Toc6660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第六节 IP引领形成旅游品牌宣传新力度</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_Toc6660 \h </w:instrText>
      </w:r>
      <w:r>
        <w:rPr>
          <w:rFonts w:ascii="Times New Roman" w:hAnsi="Times New Roman" w:eastAsia="仿宋"/>
          <w:sz w:val="24"/>
          <w:szCs w:val="24"/>
        </w:rPr>
        <w:fldChar w:fldCharType="separate"/>
      </w:r>
      <w:r>
        <w:rPr>
          <w:rFonts w:ascii="Times New Roman" w:hAnsi="Times New Roman" w:eastAsia="仿宋"/>
          <w:sz w:val="24"/>
          <w:szCs w:val="24"/>
        </w:rPr>
        <w:t>- 44 -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_Toc23477 </w:instrText>
      </w:r>
      <w:r>
        <w:rPr>
          <w:rFonts w:ascii="Times New Roman" w:hAnsi="Times New Roman" w:eastAsia="仿宋"/>
          <w:kern w:val="0"/>
          <w:szCs w:val="24"/>
        </w:rPr>
        <w:fldChar w:fldCharType="separate"/>
      </w:r>
      <w:r>
        <w:rPr>
          <w:rFonts w:ascii="Times New Roman" w:hAnsi="Times New Roman" w:eastAsia="仿宋"/>
          <w:szCs w:val="24"/>
        </w:rPr>
        <w:t>一、以黄河文化为核心，构建旅游品牌体系</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_Toc23477 \h </w:instrText>
      </w:r>
      <w:r>
        <w:rPr>
          <w:rFonts w:ascii="Times New Roman" w:hAnsi="Times New Roman" w:eastAsia="仿宋"/>
          <w:szCs w:val="24"/>
        </w:rPr>
        <w:fldChar w:fldCharType="separate"/>
      </w:r>
      <w:r>
        <w:rPr>
          <w:rFonts w:ascii="Times New Roman" w:hAnsi="Times New Roman" w:eastAsia="仿宋"/>
          <w:szCs w:val="24"/>
        </w:rPr>
        <w:t>- 44 -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_Toc27092 </w:instrText>
      </w:r>
      <w:r>
        <w:rPr>
          <w:rFonts w:ascii="Times New Roman" w:hAnsi="Times New Roman" w:eastAsia="仿宋"/>
          <w:kern w:val="0"/>
          <w:szCs w:val="24"/>
        </w:rPr>
        <w:fldChar w:fldCharType="separate"/>
      </w:r>
      <w:r>
        <w:rPr>
          <w:rFonts w:ascii="Times New Roman" w:hAnsi="Times New Roman" w:eastAsia="仿宋"/>
          <w:szCs w:val="24"/>
        </w:rPr>
        <w:t>二、以节事活动为载体，完善文旅互动体系</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_Toc27092 \h </w:instrText>
      </w:r>
      <w:r>
        <w:rPr>
          <w:rFonts w:ascii="Times New Roman" w:hAnsi="Times New Roman" w:eastAsia="仿宋"/>
          <w:szCs w:val="24"/>
        </w:rPr>
        <w:fldChar w:fldCharType="separate"/>
      </w:r>
      <w:r>
        <w:rPr>
          <w:rFonts w:ascii="Times New Roman" w:hAnsi="Times New Roman" w:eastAsia="仿宋"/>
          <w:szCs w:val="24"/>
        </w:rPr>
        <w:t>- 45 -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8"/>
        <w:tabs>
          <w:tab w:val="right" w:leader="dot" w:pos="8306"/>
        </w:tabs>
        <w:spacing w:line="312" w:lineRule="auto"/>
        <w:rPr>
          <w:rFonts w:ascii="Times New Roman" w:hAnsi="Times New Roman" w:eastAsia="仿宋"/>
          <w:szCs w:val="24"/>
        </w:rPr>
      </w:pPr>
      <w:r>
        <w:rPr>
          <w:rFonts w:ascii="Times New Roman" w:hAnsi="Times New Roman" w:eastAsia="仿宋"/>
          <w:color w:val="FF0000"/>
          <w:kern w:val="0"/>
          <w:szCs w:val="24"/>
        </w:rPr>
        <w:fldChar w:fldCharType="begin"/>
      </w:r>
      <w:r>
        <w:rPr>
          <w:rFonts w:ascii="Times New Roman" w:hAnsi="Times New Roman" w:eastAsia="仿宋"/>
          <w:kern w:val="0"/>
          <w:szCs w:val="24"/>
        </w:rPr>
        <w:instrText xml:space="preserve"> HYPERLINK \l _Toc853 </w:instrText>
      </w:r>
      <w:r>
        <w:rPr>
          <w:rFonts w:ascii="Times New Roman" w:hAnsi="Times New Roman" w:eastAsia="仿宋"/>
          <w:kern w:val="0"/>
          <w:szCs w:val="24"/>
        </w:rPr>
        <w:fldChar w:fldCharType="separate"/>
      </w:r>
      <w:r>
        <w:rPr>
          <w:rFonts w:ascii="Times New Roman" w:hAnsi="Times New Roman" w:eastAsia="仿宋"/>
          <w:szCs w:val="24"/>
        </w:rPr>
        <w:t>三、以新媒体为主要方式，拓展营销渠道</w:t>
      </w:r>
      <w:r>
        <w:rPr>
          <w:rFonts w:ascii="Times New Roman" w:hAnsi="Times New Roman" w:eastAsia="仿宋"/>
          <w:szCs w:val="24"/>
        </w:rPr>
        <w:tab/>
      </w:r>
      <w:r>
        <w:rPr>
          <w:rFonts w:ascii="Times New Roman" w:hAnsi="Times New Roman" w:eastAsia="仿宋"/>
          <w:szCs w:val="24"/>
        </w:rPr>
        <w:fldChar w:fldCharType="begin"/>
      </w:r>
      <w:r>
        <w:rPr>
          <w:rFonts w:ascii="Times New Roman" w:hAnsi="Times New Roman" w:eastAsia="仿宋"/>
          <w:szCs w:val="24"/>
        </w:rPr>
        <w:instrText xml:space="preserve"> PAGEREF _Toc853 \h </w:instrText>
      </w:r>
      <w:r>
        <w:rPr>
          <w:rFonts w:ascii="Times New Roman" w:hAnsi="Times New Roman" w:eastAsia="仿宋"/>
          <w:szCs w:val="24"/>
        </w:rPr>
        <w:fldChar w:fldCharType="separate"/>
      </w:r>
      <w:r>
        <w:rPr>
          <w:rFonts w:ascii="Times New Roman" w:hAnsi="Times New Roman" w:eastAsia="仿宋"/>
          <w:szCs w:val="24"/>
        </w:rPr>
        <w:t>- 46 -</w:t>
      </w:r>
      <w:r>
        <w:rPr>
          <w:rFonts w:ascii="Times New Roman" w:hAnsi="Times New Roman" w:eastAsia="仿宋"/>
          <w:szCs w:val="24"/>
        </w:rPr>
        <w:fldChar w:fldCharType="end"/>
      </w:r>
      <w:r>
        <w:rPr>
          <w:rFonts w:ascii="Times New Roman" w:hAnsi="Times New Roman" w:eastAsia="仿宋"/>
          <w:color w:val="FF0000"/>
          <w:kern w:val="0"/>
          <w:szCs w:val="24"/>
        </w:rPr>
        <w:fldChar w:fldCharType="end"/>
      </w:r>
    </w:p>
    <w:p>
      <w:pPr>
        <w:pStyle w:val="11"/>
        <w:tabs>
          <w:tab w:val="right" w:leader="dot" w:pos="8306"/>
          <w:tab w:val="clear" w:pos="8296"/>
        </w:tabs>
        <w:spacing w:line="312" w:lineRule="auto"/>
        <w:rPr>
          <w:rFonts w:ascii="Times New Roman" w:hAnsi="Times New Roman" w:eastAsia="仿宋" w:cs="Times New Roman"/>
          <w:sz w:val="24"/>
          <w:szCs w:val="24"/>
        </w:rPr>
      </w:pPr>
      <w:r>
        <w:rPr>
          <w:rFonts w:ascii="Times New Roman" w:hAnsi="Times New Roman" w:eastAsia="仿宋" w:cs="Times New Roman"/>
          <w:color w:val="FF0000"/>
          <w:sz w:val="24"/>
          <w:szCs w:val="24"/>
        </w:rPr>
        <w:fldChar w:fldCharType="begin"/>
      </w:r>
      <w:r>
        <w:rPr>
          <w:rFonts w:ascii="Times New Roman" w:hAnsi="Times New Roman" w:eastAsia="仿宋" w:cs="Times New Roman"/>
          <w:sz w:val="24"/>
          <w:szCs w:val="24"/>
        </w:rPr>
        <w:instrText xml:space="preserve"> HYPERLINK \l _Toc29416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第五章 深化改革，完善旅游发展保障体系</w:t>
      </w:r>
      <w:r>
        <w:rPr>
          <w:rFonts w:ascii="Times New Roman" w:hAnsi="Times New Roman" w:eastAsia="仿宋" w:cs="Times New Roman"/>
          <w:sz w:val="24"/>
          <w:szCs w:val="24"/>
        </w:rPr>
        <w:tab/>
      </w: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PAGEREF _Toc29416 \h </w:instrText>
      </w:r>
      <w:r>
        <w:rPr>
          <w:rFonts w:ascii="Times New Roman" w:hAnsi="Times New Roman" w:eastAsia="仿宋" w:cs="Times New Roman"/>
          <w:sz w:val="24"/>
          <w:szCs w:val="24"/>
        </w:rPr>
        <w:fldChar w:fldCharType="separate"/>
      </w:r>
      <w:r>
        <w:rPr>
          <w:rFonts w:ascii="Times New Roman" w:hAnsi="Times New Roman" w:eastAsia="仿宋" w:cs="Times New Roman"/>
          <w:sz w:val="24"/>
          <w:szCs w:val="24"/>
        </w:rPr>
        <w:t>- 48 -</w:t>
      </w:r>
      <w:r>
        <w:rPr>
          <w:rFonts w:ascii="Times New Roman" w:hAnsi="Times New Roman" w:eastAsia="仿宋" w:cs="Times New Roman"/>
          <w:sz w:val="24"/>
          <w:szCs w:val="24"/>
        </w:rPr>
        <w:fldChar w:fldCharType="end"/>
      </w:r>
      <w:r>
        <w:rPr>
          <w:rFonts w:ascii="Times New Roman" w:hAnsi="Times New Roman" w:eastAsia="仿宋" w:cs="Times New Roman"/>
          <w:color w:val="FF000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_Toc6365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第一节 强化组织领导和协调</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_Toc6365 \h </w:instrText>
      </w:r>
      <w:r>
        <w:rPr>
          <w:rFonts w:ascii="Times New Roman" w:hAnsi="Times New Roman" w:eastAsia="仿宋"/>
          <w:sz w:val="24"/>
          <w:szCs w:val="24"/>
        </w:rPr>
        <w:fldChar w:fldCharType="separate"/>
      </w:r>
      <w:r>
        <w:rPr>
          <w:rFonts w:ascii="Times New Roman" w:hAnsi="Times New Roman" w:eastAsia="仿宋"/>
          <w:sz w:val="24"/>
          <w:szCs w:val="24"/>
        </w:rPr>
        <w:t>- 48 -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_Toc3615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第二节 强化规划管理</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_Toc3615 \h </w:instrText>
      </w:r>
      <w:r>
        <w:rPr>
          <w:rFonts w:ascii="Times New Roman" w:hAnsi="Times New Roman" w:eastAsia="仿宋"/>
          <w:sz w:val="24"/>
          <w:szCs w:val="24"/>
        </w:rPr>
        <w:fldChar w:fldCharType="separate"/>
      </w:r>
      <w:r>
        <w:rPr>
          <w:rFonts w:ascii="Times New Roman" w:hAnsi="Times New Roman" w:eastAsia="仿宋"/>
          <w:sz w:val="24"/>
          <w:szCs w:val="24"/>
        </w:rPr>
        <w:t>- 48 -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_Toc26982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第三节 完善政策保障</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_Toc26982 \h </w:instrText>
      </w:r>
      <w:r>
        <w:rPr>
          <w:rFonts w:ascii="Times New Roman" w:hAnsi="Times New Roman" w:eastAsia="仿宋"/>
          <w:sz w:val="24"/>
          <w:szCs w:val="24"/>
        </w:rPr>
        <w:fldChar w:fldCharType="separate"/>
      </w:r>
      <w:r>
        <w:rPr>
          <w:rFonts w:ascii="Times New Roman" w:hAnsi="Times New Roman" w:eastAsia="仿宋"/>
          <w:sz w:val="24"/>
          <w:szCs w:val="24"/>
        </w:rPr>
        <w:t>- 48 -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_Toc5405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第四节 做足人才保障</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_Toc5405 \h </w:instrText>
      </w:r>
      <w:r>
        <w:rPr>
          <w:rFonts w:ascii="Times New Roman" w:hAnsi="Times New Roman" w:eastAsia="仿宋"/>
          <w:sz w:val="24"/>
          <w:szCs w:val="24"/>
        </w:rPr>
        <w:fldChar w:fldCharType="separate"/>
      </w:r>
      <w:r>
        <w:rPr>
          <w:rFonts w:ascii="Times New Roman" w:hAnsi="Times New Roman" w:eastAsia="仿宋"/>
          <w:sz w:val="24"/>
          <w:szCs w:val="24"/>
        </w:rPr>
        <w:t>- 50 -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eastAsia="仿宋"/>
          <w:sz w:val="24"/>
          <w:szCs w:val="24"/>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_Toc19780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第五节 坚持依法治旅</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_Toc19780 \h </w:instrText>
      </w:r>
      <w:r>
        <w:rPr>
          <w:rFonts w:ascii="Times New Roman" w:hAnsi="Times New Roman" w:eastAsia="仿宋"/>
          <w:sz w:val="24"/>
          <w:szCs w:val="24"/>
        </w:rPr>
        <w:fldChar w:fldCharType="separate"/>
      </w:r>
      <w:r>
        <w:rPr>
          <w:rFonts w:ascii="Times New Roman" w:hAnsi="Times New Roman" w:eastAsia="仿宋"/>
          <w:sz w:val="24"/>
          <w:szCs w:val="24"/>
        </w:rPr>
        <w:t>- 51 -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pStyle w:val="12"/>
        <w:tabs>
          <w:tab w:val="right" w:leader="dot" w:pos="8306"/>
        </w:tabs>
        <w:spacing w:line="312" w:lineRule="auto"/>
        <w:rPr>
          <w:rFonts w:ascii="Times New Roman" w:hAnsi="Times New Roman"/>
        </w:rPr>
      </w:pPr>
      <w:r>
        <w:rPr>
          <w:rFonts w:ascii="Times New Roman" w:hAnsi="Times New Roman" w:eastAsia="仿宋"/>
          <w:color w:val="FF0000"/>
          <w:kern w:val="0"/>
          <w:sz w:val="24"/>
          <w:szCs w:val="24"/>
        </w:rPr>
        <w:fldChar w:fldCharType="begin"/>
      </w:r>
      <w:r>
        <w:rPr>
          <w:rFonts w:ascii="Times New Roman" w:hAnsi="Times New Roman" w:eastAsia="仿宋"/>
          <w:kern w:val="0"/>
          <w:sz w:val="24"/>
          <w:szCs w:val="24"/>
        </w:rPr>
        <w:instrText xml:space="preserve"> HYPERLINK \l _Toc22302 </w:instrText>
      </w:r>
      <w:r>
        <w:rPr>
          <w:rFonts w:ascii="Times New Roman" w:hAnsi="Times New Roman" w:eastAsia="仿宋"/>
          <w:kern w:val="0"/>
          <w:sz w:val="24"/>
          <w:szCs w:val="24"/>
        </w:rPr>
        <w:fldChar w:fldCharType="separate"/>
      </w:r>
      <w:r>
        <w:rPr>
          <w:rFonts w:ascii="Times New Roman" w:hAnsi="Times New Roman" w:eastAsia="仿宋"/>
          <w:kern w:val="0"/>
          <w:sz w:val="24"/>
          <w:szCs w:val="24"/>
        </w:rPr>
        <w:t>第六节 加强区域联合，实施资源共享</w:t>
      </w:r>
      <w:r>
        <w:rPr>
          <w:rFonts w:ascii="Times New Roman" w:hAnsi="Times New Roman" w:eastAsia="仿宋"/>
          <w:sz w:val="24"/>
          <w:szCs w:val="24"/>
        </w:rPr>
        <w:tab/>
      </w:r>
      <w:r>
        <w:rPr>
          <w:rFonts w:ascii="Times New Roman" w:hAnsi="Times New Roman" w:eastAsia="仿宋"/>
          <w:sz w:val="24"/>
          <w:szCs w:val="24"/>
        </w:rPr>
        <w:fldChar w:fldCharType="begin"/>
      </w:r>
      <w:r>
        <w:rPr>
          <w:rFonts w:ascii="Times New Roman" w:hAnsi="Times New Roman" w:eastAsia="仿宋"/>
          <w:sz w:val="24"/>
          <w:szCs w:val="24"/>
        </w:rPr>
        <w:instrText xml:space="preserve"> PAGEREF _Toc22302 \h </w:instrText>
      </w:r>
      <w:r>
        <w:rPr>
          <w:rFonts w:ascii="Times New Roman" w:hAnsi="Times New Roman" w:eastAsia="仿宋"/>
          <w:sz w:val="24"/>
          <w:szCs w:val="24"/>
        </w:rPr>
        <w:fldChar w:fldCharType="separate"/>
      </w:r>
      <w:r>
        <w:rPr>
          <w:rFonts w:ascii="Times New Roman" w:hAnsi="Times New Roman" w:eastAsia="仿宋"/>
          <w:sz w:val="24"/>
          <w:szCs w:val="24"/>
        </w:rPr>
        <w:t>- 51 -</w:t>
      </w:r>
      <w:r>
        <w:rPr>
          <w:rFonts w:ascii="Times New Roman" w:hAnsi="Times New Roman" w:eastAsia="仿宋"/>
          <w:sz w:val="24"/>
          <w:szCs w:val="24"/>
        </w:rPr>
        <w:fldChar w:fldCharType="end"/>
      </w:r>
      <w:r>
        <w:rPr>
          <w:rFonts w:ascii="Times New Roman" w:hAnsi="Times New Roman" w:eastAsia="仿宋"/>
          <w:color w:val="FF0000"/>
          <w:kern w:val="0"/>
          <w:sz w:val="24"/>
          <w:szCs w:val="24"/>
        </w:rPr>
        <w:fldChar w:fldCharType="end"/>
      </w:r>
    </w:p>
    <w:p>
      <w:pPr>
        <w:widowControl/>
        <w:spacing w:line="360" w:lineRule="auto"/>
        <w:jc w:val="center"/>
        <w:rPr>
          <w:rFonts w:ascii="Times New Roman" w:hAnsi="Times New Roman" w:eastAsia="黑体"/>
          <w:color w:val="FF0000"/>
          <w:kern w:val="0"/>
          <w:sz w:val="36"/>
          <w:szCs w:val="36"/>
        </w:rPr>
        <w:sectPr>
          <w:headerReference r:id="rId5" w:type="default"/>
          <w:footerReference r:id="rId6"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
          <w:color w:val="FF0000"/>
          <w:kern w:val="0"/>
          <w:szCs w:val="24"/>
        </w:rPr>
        <w:fldChar w:fldCharType="end"/>
      </w:r>
    </w:p>
    <w:p>
      <w:pPr>
        <w:widowControl/>
        <w:jc w:val="center"/>
        <w:rPr>
          <w:rFonts w:ascii="Times New Roman" w:hAnsi="Times New Roman" w:eastAsia="黑体"/>
          <w:b/>
          <w:kern w:val="0"/>
          <w:sz w:val="36"/>
          <w:szCs w:val="36"/>
        </w:rPr>
      </w:pPr>
      <w:r>
        <w:rPr>
          <w:rFonts w:ascii="Times New Roman" w:hAnsi="Times New Roman" w:eastAsia="黑体"/>
          <w:b/>
          <w:kern w:val="0"/>
          <w:sz w:val="36"/>
          <w:szCs w:val="36"/>
        </w:rPr>
        <w:t>前 言</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“十四五”是我国</w:t>
      </w:r>
      <w:r>
        <w:rPr>
          <w:rFonts w:hint="eastAsia" w:ascii="方正仿宋简体" w:hAnsi="方正仿宋简体" w:eastAsia="方正仿宋简体" w:cs="方正仿宋简体"/>
          <w:sz w:val="34"/>
          <w:szCs w:val="34"/>
          <w:lang w:val="en-US" w:eastAsia="zh-CN"/>
        </w:rPr>
        <w:t>全面建成</w:t>
      </w:r>
      <w:r>
        <w:rPr>
          <w:rFonts w:hint="eastAsia" w:ascii="方正仿宋简体" w:hAnsi="方正仿宋简体" w:eastAsia="方正仿宋简体" w:cs="方正仿宋简体"/>
          <w:sz w:val="34"/>
          <w:szCs w:val="34"/>
        </w:rPr>
        <w:t>小康社会，相关产业深度融合创新的重要时期，也是克服疫情不利影响，应对国际形势诸多挑战和不确定因素的关键时期。在我国经济发展步入新常态，旅游产业面临国际环境不稳定和国内旅游市场结构变化的大背景下，青铜峡市旅游业“十四五”发展规划的编制，必须深入落实习近平总书记视察宁夏时的嘱托、指示和要求，必须全面贯彻自治区建设黄河流域生态保护和高质量发展先行区的战略任务，必须扎实推进自治区、吴忠市有关推进高质量发展的决策部署，从青铜峡旅游业实际出发，统筹推进、高质量开展规划工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ascii="Times New Roman" w:hAnsi="Times New Roman"/>
          <w:color w:val="FF0000"/>
          <w:sz w:val="28"/>
          <w:szCs w:val="28"/>
        </w:rPr>
        <w:sectPr>
          <w:headerReference r:id="rId7" w:type="default"/>
          <w:footerReference r:id="rId8" w:type="default"/>
          <w:pgSz w:w="11906" w:h="16838"/>
          <w:pgMar w:top="2098" w:right="1474" w:bottom="1984" w:left="1587" w:header="851" w:footer="992" w:gutter="0"/>
          <w:pgNumType w:fmt="numberInDash"/>
          <w:cols w:space="720" w:num="1"/>
          <w:docGrid w:type="lines" w:linePitch="312" w:charSpace="0"/>
        </w:sectPr>
      </w:pPr>
      <w:r>
        <w:rPr>
          <w:rFonts w:hint="eastAsia" w:ascii="方正仿宋简体" w:hAnsi="方正仿宋简体" w:eastAsia="方正仿宋简体" w:cs="方正仿宋简体"/>
          <w:sz w:val="34"/>
          <w:szCs w:val="34"/>
        </w:rPr>
        <w:t>本规划以自治区文化旅游产业高质量发展规划工作任务体系为指导，以提升高质量发展水平为总领，以融合发展为重心，围绕“黄河岸边、稻花香里、贺兰山下”三条主线，明确“十四五”时期青铜峡旅游业发展目标、主要任务和重大项目，统筹推进旅游产业向各领域、多方位、全链条融合发展，不断丰富产业供给要素，持续提升服务水平，是2021-2025年全市旅游产业发展的蓝图。</w:t>
      </w:r>
    </w:p>
    <w:p>
      <w:pPr>
        <w:pStyle w:val="2"/>
        <w:autoSpaceDE w:val="0"/>
        <w:autoSpaceDN w:val="0"/>
        <w:spacing w:before="156" w:beforeLines="50" w:after="156" w:afterLines="50" w:line="360" w:lineRule="auto"/>
        <w:jc w:val="center"/>
        <w:outlineLvl w:val="0"/>
        <w:rPr>
          <w:rFonts w:ascii="Times New Roman" w:hAnsi="Times New Roman" w:eastAsia="黑体" w:cs="Times New Roman"/>
          <w:b/>
          <w:kern w:val="0"/>
          <w:sz w:val="36"/>
          <w:szCs w:val="36"/>
        </w:rPr>
      </w:pPr>
      <w:bookmarkStart w:id="0" w:name="_Toc1592"/>
      <w:r>
        <w:rPr>
          <w:rFonts w:ascii="Times New Roman" w:hAnsi="Times New Roman" w:eastAsia="黑体" w:cs="Times New Roman"/>
          <w:b/>
          <w:kern w:val="0"/>
          <w:sz w:val="36"/>
          <w:szCs w:val="36"/>
        </w:rPr>
        <w:t>第一章 把握机遇，迎接旅游高质量发展新时代</w:t>
      </w:r>
      <w:bookmarkEnd w:id="0"/>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方正仿宋简体" w:hAnsi="方正仿宋简体" w:eastAsia="方正仿宋简体" w:cs="方正仿宋简体"/>
          <w:b w:val="0"/>
          <w:bCs/>
          <w:sz w:val="34"/>
          <w:szCs w:val="34"/>
        </w:rPr>
      </w:pPr>
      <w:bookmarkStart w:id="1" w:name="_Toc9536"/>
      <w:r>
        <w:rPr>
          <w:rFonts w:hint="eastAsia" w:ascii="黑体" w:hAnsi="黑体" w:eastAsia="黑体" w:cs="黑体"/>
          <w:b w:val="0"/>
          <w:bCs/>
          <w:kern w:val="0"/>
          <w:sz w:val="34"/>
          <w:szCs w:val="34"/>
        </w:rPr>
        <w:t>第一节 “十三五”取得成绩</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十三五”期间，青铜峡市在自治区打造独具特色旅游目的地的总体部署下，以建设“黄河文化旅游名城”为目标，大力实施“大旅游、大产业、大开发、大发展”战略，在已建成的黄河大峡谷、黄河楼、黄河坛、青铜古镇等一批彰显黄河文化的地标性工程基础上，通过优化布局</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资源整合</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示范带动了全市旅游景区（点）、文物古迹、乡村旅游示范点、餐饮住宿、旅游购物实体店、旅行社等旅游企业的蓬勃发展，并成功创建“国家全域旅游示范区”。初步形成了以“黄河岸边、稻花香里、贺兰山下”为轴线布局，集旅游购物、餐饮住宿、农事活动、休闲观光、旅游产品生产、旅游产业为一体的黄河文化旅游产业体系。</w:t>
      </w:r>
    </w:p>
    <w:p>
      <w:pPr>
        <w:spacing w:line="360" w:lineRule="auto"/>
        <w:jc w:val="center"/>
        <w:rPr>
          <w:rFonts w:ascii="Times New Roman" w:hAnsi="Times New Roman" w:eastAsia="仿宋"/>
          <w:sz w:val="32"/>
          <w:szCs w:val="32"/>
        </w:rPr>
      </w:pPr>
      <w:r>
        <w:rPr>
          <w:rFonts w:ascii="Times New Roman" w:hAnsi="Times New Roman"/>
        </w:rPr>
        <w:drawing>
          <wp:inline distT="0" distB="0" distL="114300" distR="114300">
            <wp:extent cx="4591050" cy="2743200"/>
            <wp:effectExtent l="4445" t="4445" r="14605" b="14605"/>
            <wp:docPr id="15" name="图表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五年来，全市共接待游客1172.65万人次，实现旅游综合收入53.59亿元，旅游总收入占GDP比重从5%提高到7%，旅游直接从业人员3000余人，旅游产业发展实现从“粗”到“细”，从“点”到“面”，从“局部”到“全域”的重大转变，旅游业成为全市稳增长、调结构、促转型的新引擎。</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2" w:name="_Toc7345"/>
      <w:bookmarkStart w:id="3" w:name="_Toc20541"/>
      <w:r>
        <w:rPr>
          <w:rFonts w:hint="eastAsia" w:ascii="方正黑体简体" w:hAnsi="方正黑体简体" w:eastAsia="方正黑体简体" w:cs="方正黑体简体"/>
          <w:b w:val="0"/>
          <w:bCs/>
          <w:sz w:val="34"/>
          <w:szCs w:val="34"/>
        </w:rPr>
        <w:t>一、立足长远，以战略思维谋划产业发展</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（一）“一业统领”高位谋划。</w:t>
      </w:r>
      <w:r>
        <w:rPr>
          <w:rFonts w:hint="eastAsia" w:ascii="方正仿宋简体" w:hAnsi="方正仿宋简体" w:eastAsia="方正仿宋简体" w:cs="方正仿宋简体"/>
          <w:sz w:val="34"/>
          <w:szCs w:val="34"/>
        </w:rPr>
        <w:t>坚持高层推动，</w:t>
      </w:r>
      <w:r>
        <w:rPr>
          <w:rFonts w:hint="eastAsia" w:ascii="方正仿宋简体" w:hAnsi="方正仿宋简体" w:eastAsia="方正仿宋简体" w:cs="方正仿宋简体"/>
          <w:color w:val="auto"/>
          <w:sz w:val="34"/>
          <w:szCs w:val="34"/>
        </w:rPr>
        <w:t>以全域旅游为统领，把旅游业</w:t>
      </w:r>
      <w:r>
        <w:rPr>
          <w:rFonts w:hint="eastAsia" w:ascii="方正仿宋简体" w:hAnsi="方正仿宋简体" w:eastAsia="方正仿宋简体" w:cs="方正仿宋简体"/>
          <w:sz w:val="34"/>
          <w:szCs w:val="34"/>
        </w:rPr>
        <w:t>放到推动全市经济结构转型升级的高度去谋划、去推进、去落实。成立了由市委书记为主任的全域旅游创建工作委员会，各相关部门、单位为创建成员单位的工作体系，构建了“党委牵头、政府主抓、部门落实、社会参与”的工作推进和落实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（二）“一规定位”科学布局。</w:t>
      </w:r>
      <w:r>
        <w:rPr>
          <w:rFonts w:hint="eastAsia" w:ascii="方正仿宋简体" w:hAnsi="方正仿宋简体" w:eastAsia="方正仿宋简体" w:cs="方正仿宋简体"/>
          <w:sz w:val="34"/>
          <w:szCs w:val="34"/>
        </w:rPr>
        <w:t>始终坚持规划先行、保护与开发并重、科学合理利用资源的原则，突出重点，抓好旅游开发建设。“十三五”期间完成《青铜峡市全域旅游总体规划（2016-2025年）》编制，出台《青铜峡市创建国家全域旅游示范市实施方案</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青铜峡市全域旅游三年行动计划（2016-2018年）》和《青铜峡市“引客入青”奖励办法》《促进餐饮住宿业发展的政策措施》等，为旅游产业发展布局勾画蓝图。</w:t>
      </w:r>
    </w:p>
    <w:p>
      <w:pPr>
        <w:keepNext w:val="0"/>
        <w:keepLines w:val="0"/>
        <w:pageBreakBefore w:val="0"/>
        <w:widowControl w:val="0"/>
        <w:kinsoku/>
        <w:wordWrap/>
        <w:overflowPunct/>
        <w:topLinePunct w:val="0"/>
        <w:autoSpaceDE/>
        <w:autoSpaceDN/>
        <w:bidi w:val="0"/>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（三）“众人划桨”形成合力。</w:t>
      </w:r>
      <w:r>
        <w:rPr>
          <w:rFonts w:hint="eastAsia" w:ascii="方正仿宋简体" w:hAnsi="方正仿宋简体" w:eastAsia="方正仿宋简体" w:cs="方正仿宋简体"/>
          <w:sz w:val="34"/>
          <w:szCs w:val="34"/>
        </w:rPr>
        <w:t>累计投资55.6亿元，用于旅游基础设施和公共服务设施建设。将全域旅游创建工作纳入全市效能目标考核，加大创建成员单位全域旅游考核比重，建立工作联席会议制度和督查考评机制，定期组织召开工作推进会研究推进创建工作，及时破解工作中困难和问题。</w:t>
      </w:r>
    </w:p>
    <w:p>
      <w:pPr>
        <w:keepNext w:val="0"/>
        <w:keepLines w:val="0"/>
        <w:pageBreakBefore w:val="0"/>
        <w:widowControl w:val="0"/>
        <w:kinsoku/>
        <w:wordWrap/>
        <w:overflowPunct/>
        <w:topLinePunct w:val="0"/>
        <w:autoSpaceDE/>
        <w:autoSpaceDN/>
        <w:bidi w:val="0"/>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4" w:name="_Toc5843"/>
      <w:bookmarkStart w:id="5" w:name="_Toc20082"/>
      <w:r>
        <w:rPr>
          <w:rFonts w:hint="eastAsia" w:ascii="方正黑体简体" w:hAnsi="方正黑体简体" w:eastAsia="方正黑体简体" w:cs="方正黑体简体"/>
          <w:b w:val="0"/>
          <w:bCs/>
          <w:sz w:val="34"/>
          <w:szCs w:val="34"/>
        </w:rPr>
        <w:t>二、突出重点，以扎实举措推进产业发展</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（一）打造全域品牌。</w:t>
      </w:r>
      <w:r>
        <w:rPr>
          <w:rFonts w:hint="eastAsia" w:ascii="方正仿宋简体" w:hAnsi="方正仿宋简体" w:eastAsia="方正仿宋简体" w:cs="方正仿宋简体"/>
          <w:sz w:val="34"/>
          <w:szCs w:val="34"/>
        </w:rPr>
        <w:t>五年来，通过提升全域旅游产品档次，实现了全域旅游质和量的齐升。成功获评世界灌溉工程遗产——宁夏引黄古灌区、国家湿地公园各1处，国家重点文物保护单位4处，自治区五星级农家乐1家、五星级乡村旅游示范点1家，宁夏十大旅游购物店、十大旅游特色街区各1处。青铜峡市已通过国家全域旅游示范区创建、验收，黄河大峡谷旅游区通过国家5A级旅游景区景观质量评定。</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（二）强化项目支撑。</w:t>
      </w:r>
      <w:r>
        <w:rPr>
          <w:rFonts w:hint="eastAsia" w:ascii="方正仿宋简体" w:hAnsi="方正仿宋简体" w:eastAsia="方正仿宋简体" w:cs="方正仿宋简体"/>
          <w:spacing w:val="-6"/>
          <w:sz w:val="34"/>
          <w:szCs w:val="34"/>
        </w:rPr>
        <w:t>五年来，全市累计实施80多个旅游基础设施和公共服务重大项目，黄河文化旅游带、滨河大道景观绿化改造提升项目先后入选全国优选旅游项目库。旅游景观标识、跨东干渠景观桥、108塔观景平台、牛首山停车场、鸟岛旅游服务区等景区基础设施项目建设完成，改造提升景区和农家乐A级旅游厕所40座；黄河楼3D艺术馆、旅游集散中心、自行车慢行道等项目建成使用；地三特色产业示范村、罗家河东部水系连通、青铜古镇改造提升等项目建成运营。</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（三）打响旅游品牌。</w:t>
      </w:r>
      <w:r>
        <w:rPr>
          <w:rFonts w:hint="eastAsia" w:ascii="方正仿宋简体" w:hAnsi="方正仿宋简体" w:eastAsia="方正仿宋简体" w:cs="方正仿宋简体"/>
          <w:sz w:val="34"/>
          <w:szCs w:val="34"/>
        </w:rPr>
        <w:t>围绕“印象黄河·彩虹之上”品牌形象，综合运用传统媒体和互联网新媒体，借力宁夏引黄古灌区世界灌溉工程遗产品牌和鸽子山古人类文化遗址入列全国十大考古新发现的影响力，借梯登高品牌营销；举办阿迪力黄河大峡谷极限之旅、黄河楼彩灯嘉年华、稻花香里文化艺术节、黄河拜水盛典、农民丰收节等30多场次重大节庆文化活动，借势造势主题宣传。“九渠之首青铜峡”“我在黄河边等你”等旅游形象宣传语广受欢迎。</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（四）优化服务环境。</w:t>
      </w:r>
      <w:r>
        <w:rPr>
          <w:rFonts w:hint="eastAsia" w:ascii="方正仿宋简体" w:hAnsi="方正仿宋简体" w:eastAsia="方正仿宋简体" w:cs="方正仿宋简体"/>
          <w:sz w:val="34"/>
          <w:szCs w:val="34"/>
        </w:rPr>
        <w:t>强化行业培训，侧重加强旅游一线服务人员和紧缺型人才的培训，加大“旅游服务之星”“金牌导游（讲解员）”等评比表彰，不断强化人才支撑，培养出一批国家乡村文化和旅游能人。提升服务质量，侧重培育和引导特色旅游产业，黄河楼景区、大峡谷景区荣获自治区“文明旅游景区”称号，叶盛镇入选“全国乡村旅游重点村”，全市文创及特色旅游商品荣获全国金奖2个、银奖2个、铜奖1个。</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（五）推行惠民举措。</w:t>
      </w:r>
      <w:r>
        <w:rPr>
          <w:rFonts w:hint="eastAsia" w:ascii="方正仿宋简体" w:hAnsi="方正仿宋简体" w:eastAsia="方正仿宋简体" w:cs="方正仿宋简体"/>
          <w:sz w:val="34"/>
          <w:szCs w:val="34"/>
        </w:rPr>
        <w:t>落实老年人、特殊人群免票政策，实行免费开放文化馆、青秀园、鸟岛游客服务区等惠民举措；同时依托节庆活动、节假日开展了景区门票优惠、景点联票、免费赠票等优惠措施，激活旅游消费市场，释放旅游消费潜力，带动旅游人气，营造共建共享的旅游发展环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6" w:name="_Toc28645"/>
      <w:bookmarkStart w:id="7" w:name="_Toc20176"/>
      <w:r>
        <w:rPr>
          <w:rFonts w:hint="eastAsia" w:ascii="方正黑体简体" w:hAnsi="方正黑体简体" w:eastAsia="方正黑体简体" w:cs="方正黑体简体"/>
          <w:b w:val="0"/>
          <w:bCs/>
          <w:sz w:val="34"/>
          <w:szCs w:val="34"/>
        </w:rPr>
        <w:t>三、创新发展，以资源整合推进产业发展</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（一）坚持融合发展。</w:t>
      </w:r>
      <w:r>
        <w:rPr>
          <w:rFonts w:hint="eastAsia" w:ascii="方正仿宋简体" w:hAnsi="方正仿宋简体" w:eastAsia="方正仿宋简体" w:cs="方正仿宋简体"/>
          <w:sz w:val="34"/>
          <w:szCs w:val="34"/>
        </w:rPr>
        <w:t>五年来，始终把“旅游+”作为丰富旅游产品、增加有效供给的有力举措。黄河楼3D奇幻艺术馆、吴忠黄河奥体中心等新业态开始运营；叶盛地三特色产业示范村、叶盛龙门特色旅游村、先锋大青葡萄长廊、大坝韦桥美丽休闲乡村等田园观光综合体项目备受关注；大峡谷特色旅游商品展示中心及捷智通、禹皇酒庄等旅游电商企业、叶盛米业旅游商品研发基地落地生根；稻花香里文化艺术节、阿迪力黄河大峡谷极限之旅、中秋黄河楼赏月、国际马拉松长跑比赛、黄河文化美食节、特色商品展销会等主体活动四季不断。文化、农业、体育、商贸、城乡建设借势旅游平台融合发展态势明显。</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w:t>
      </w:r>
      <w:r>
        <w:rPr>
          <w:rFonts w:hint="eastAsia" w:ascii="方正楷体简体" w:hAnsi="方正楷体简体" w:eastAsia="方正楷体简体" w:cs="方正楷体简体"/>
          <w:b/>
          <w:bCs/>
          <w:sz w:val="34"/>
          <w:szCs w:val="34"/>
        </w:rPr>
        <w:t>发展智慧旅游。</w:t>
      </w:r>
      <w:r>
        <w:rPr>
          <w:rFonts w:hint="eastAsia" w:ascii="方正仿宋简体" w:hAnsi="方正仿宋简体" w:eastAsia="方正仿宋简体" w:cs="方正仿宋简体"/>
          <w:sz w:val="34"/>
          <w:szCs w:val="34"/>
        </w:rPr>
        <w:t>打造智慧旅游青铜峡，开发“畅游青铜峡”小程序，并正式上线运营；青铜峡旅游集散中心大数据智慧旅游系统已建成投入使用，正在完善大数据平台与各景区、自治区文化旅游厅的数据共享服务；黄河楼、黄河大峡谷景区已建立景区官方运营网站及微信公众平台，实现携程网、美团等线上OTA平台网上购票和线下闸机检票功能，景区重点区域实现WiFi全覆盖。</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方正仿宋简体" w:hAnsi="方正仿宋简体" w:eastAsia="方正仿宋简体" w:cs="方正仿宋简体"/>
          <w:b/>
          <w:sz w:val="34"/>
          <w:szCs w:val="34"/>
        </w:rPr>
      </w:pPr>
      <w:bookmarkStart w:id="8" w:name="_Toc10902"/>
      <w:r>
        <w:rPr>
          <w:rFonts w:hint="eastAsia" w:ascii="黑体" w:hAnsi="黑体" w:eastAsia="黑体" w:cs="黑体"/>
          <w:b w:val="0"/>
          <w:bCs/>
          <w:kern w:val="0"/>
          <w:sz w:val="34"/>
          <w:szCs w:val="34"/>
        </w:rPr>
        <w:t>第二节 “十三五”存在问题</w:t>
      </w:r>
      <w:bookmarkEnd w:id="8"/>
      <w:bookmarkStart w:id="9" w:name="_Toc6527"/>
      <w:bookmarkStart w:id="10" w:name="_Toc5074"/>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r>
        <w:rPr>
          <w:rFonts w:hint="eastAsia" w:ascii="方正黑体简体" w:hAnsi="方正黑体简体" w:eastAsia="方正黑体简体" w:cs="方正黑体简体"/>
          <w:b w:val="0"/>
          <w:bCs/>
          <w:sz w:val="34"/>
          <w:szCs w:val="34"/>
        </w:rPr>
        <w:t>一、产业配套服务相对滞后</w:t>
      </w:r>
      <w:bookmarkEnd w:id="9"/>
      <w:bookmarkEnd w:id="10"/>
    </w:p>
    <w:p>
      <w:pPr>
        <w:keepNext w:val="0"/>
        <w:keepLines w:val="0"/>
        <w:pageBreakBefore w:val="0"/>
        <w:widowControl w:val="0"/>
        <w:kinsoku/>
        <w:wordWrap/>
        <w:overflowPunct/>
        <w:topLinePunct w:val="0"/>
        <w:bidi w:val="0"/>
        <w:adjustRightInd/>
        <w:snapToGrid/>
        <w:spacing w:line="560" w:lineRule="exact"/>
        <w:ind w:firstLine="652" w:firstLineChars="200"/>
        <w:textAlignment w:val="auto"/>
        <w:rPr>
          <w:rFonts w:hint="eastAsia" w:ascii="方正仿宋简体" w:hAnsi="方正仿宋简体" w:eastAsia="方正仿宋简体" w:cs="方正仿宋简体"/>
          <w:w w:val="96"/>
          <w:sz w:val="34"/>
          <w:szCs w:val="34"/>
        </w:rPr>
      </w:pPr>
      <w:r>
        <w:rPr>
          <w:rFonts w:hint="eastAsia" w:ascii="方正仿宋简体" w:hAnsi="方正仿宋简体" w:eastAsia="方正仿宋简体" w:cs="方正仿宋简体"/>
          <w:w w:val="96"/>
          <w:sz w:val="34"/>
          <w:szCs w:val="34"/>
        </w:rPr>
        <w:t>全市在餐饮、住宿、购物、娱乐等旅游要素培育上动力缺乏，产业链条短，旅游消费水平不高，跟不上旅游业整体发展的需要。城市商贸区、购物区、餐饮娱乐街区等缺乏主题化、标准化、人性化、艺术化的标识、标牌，旅游城市特色不明显。全市缺乏特色化的餐饮品牌名店，星级宾馆数量少，非标民宿和文化主题酒店缺失。</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11" w:name="_Toc13103"/>
      <w:bookmarkStart w:id="12" w:name="_Toc26849"/>
      <w:r>
        <w:rPr>
          <w:rFonts w:hint="eastAsia" w:ascii="方正黑体简体" w:hAnsi="方正黑体简体" w:eastAsia="方正黑体简体" w:cs="方正黑体简体"/>
          <w:b w:val="0"/>
          <w:bCs/>
          <w:sz w:val="34"/>
          <w:szCs w:val="34"/>
        </w:rPr>
        <w:t>二、产业融合深度有待提高</w:t>
      </w:r>
      <w:bookmarkEnd w:id="11"/>
      <w:bookmarkEnd w:id="12"/>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全市旅游产业融合类型较多，但融合深度与广度不足，缺少创新意识，创新创意元素在产业融合中的应用较少。旅游产品、工艺品、艺术作品表演等转化为产品的能力有限，缺乏具有竞争力及市场影响力的融合精品产品。旅游企业在融合发展方面创新驱动意识不强，缺乏发展活力和整体竞争力，导致体验娱乐性产品培育开发不足，本土化特色旅游商品研发不足，旅游商品市场化推进力度不够。</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13" w:name="_Toc11161"/>
      <w:bookmarkStart w:id="14" w:name="_Toc24926"/>
      <w:r>
        <w:rPr>
          <w:rFonts w:hint="eastAsia" w:ascii="方正黑体简体" w:hAnsi="方正黑体简体" w:eastAsia="方正黑体简体" w:cs="方正黑体简体"/>
          <w:b w:val="0"/>
          <w:bCs/>
          <w:sz w:val="34"/>
          <w:szCs w:val="34"/>
        </w:rPr>
        <w:t>三、品牌吸引物连续性不强</w:t>
      </w:r>
      <w:bookmarkEnd w:id="13"/>
      <w:bookmarkEnd w:id="14"/>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观光型旅游产品依然占据全市旅游产业主导地位，且没有国家5A级旅游景区，旅游核心吸引物数量少且连续性不足。市域旅游业体验型、度假型产品相对缺乏，旅游目的地关键要素有待提升。旅游市场细分不明显，娱乐休闲、餐饮住宿、民俗活动等同质化比较严重，特别是处于银川“1小时”生活圈和银川至中卫的旅游廊道中间节点，核心吸引物不足成为限制旅游业发展的重要因素之一。</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15" w:name="_Toc18334"/>
      <w:bookmarkStart w:id="16" w:name="_Toc21272"/>
      <w:r>
        <w:rPr>
          <w:rFonts w:hint="eastAsia" w:ascii="方正黑体简体" w:hAnsi="方正黑体简体" w:eastAsia="方正黑体简体" w:cs="方正黑体简体"/>
          <w:b w:val="0"/>
          <w:bCs/>
          <w:sz w:val="34"/>
          <w:szCs w:val="34"/>
        </w:rPr>
        <w:t>四、旅游客源市场相对</w:t>
      </w:r>
      <w:bookmarkEnd w:id="15"/>
      <w:r>
        <w:rPr>
          <w:rFonts w:hint="eastAsia" w:ascii="方正黑体简体" w:hAnsi="方正黑体简体" w:eastAsia="方正黑体简体" w:cs="方正黑体简体"/>
          <w:b w:val="0"/>
          <w:bCs/>
          <w:sz w:val="34"/>
          <w:szCs w:val="34"/>
        </w:rPr>
        <w:t>单一</w:t>
      </w:r>
      <w:bookmarkEnd w:id="16"/>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青铜峡地处西部地区的东北部，远离中国西部主要黄金旅游线，长三角、珠三角、京津冀地区等国内主要客源市场因受地理因素制约，造成外省游客经济成本高、旅途花费时间多等问题。本地客源市场受消费观念限制，对旅游业支撑力不足。再加上季节性特征明显等因素，旅游产业投入产出比偏高，特别是高端民宿、乡村旅游点，导致服务标准降低，硬件设施设备更新慢。</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17" w:name="_Toc8887"/>
      <w:bookmarkStart w:id="18" w:name="_Toc26058"/>
      <w:r>
        <w:rPr>
          <w:rFonts w:hint="eastAsia" w:ascii="方正黑体简体" w:hAnsi="方正黑体简体" w:eastAsia="方正黑体简体" w:cs="方正黑体简体"/>
          <w:b w:val="0"/>
          <w:bCs/>
          <w:sz w:val="34"/>
          <w:szCs w:val="34"/>
        </w:rPr>
        <w:t>五、人才匮乏阻碍产业发展</w:t>
      </w:r>
      <w:bookmarkEnd w:id="17"/>
      <w:bookmarkEnd w:id="18"/>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全市旅游人才相对匮乏，缺少行业带头人，旅游培训体系有待健全，旅游从业人员整体素质有待提升，人才引进和激励政策有待制定；旅游人才储备不足，领衔文化旅游产品研发、策划、创作等文化旅游艺术和项目策划人才短缺。</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方正仿宋简体" w:hAnsi="方正仿宋简体" w:eastAsia="方正仿宋简体" w:cs="方正仿宋简体"/>
          <w:b/>
          <w:kern w:val="0"/>
          <w:sz w:val="34"/>
          <w:szCs w:val="34"/>
        </w:rPr>
      </w:pPr>
      <w:bookmarkStart w:id="19" w:name="_Toc18880"/>
      <w:r>
        <w:rPr>
          <w:rFonts w:hint="eastAsia" w:ascii="黑体" w:hAnsi="黑体" w:eastAsia="黑体" w:cs="黑体"/>
          <w:b w:val="0"/>
          <w:bCs/>
          <w:kern w:val="0"/>
          <w:sz w:val="34"/>
          <w:szCs w:val="34"/>
        </w:rPr>
        <w:t>第三节 “十四五”机遇趋势</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20" w:name="_Toc3753"/>
      <w:bookmarkStart w:id="21" w:name="_Toc12055"/>
      <w:r>
        <w:rPr>
          <w:rFonts w:hint="eastAsia" w:ascii="方正黑体简体" w:hAnsi="方正黑体简体" w:eastAsia="方正黑体简体" w:cs="方正黑体简体"/>
          <w:b w:val="0"/>
          <w:bCs/>
          <w:sz w:val="34"/>
          <w:szCs w:val="34"/>
        </w:rPr>
        <w:t>一、面临新机遇</w:t>
      </w:r>
      <w:bookmarkEnd w:id="20"/>
      <w:bookmarkEnd w:id="21"/>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十四五”时期，是青铜峡“站在新起点，谋划新发展”的关键期，也是旅游业持续优化产业结构、加快融合发展的窗口期。习近平总书记两次视察宁夏重要讲话精神和黄河流域高质量发展先行区建设为青铜峡做强做大旅游产业赋予了新使命、标定了新坐标、带来了新机遇。</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eastAsia="zh-CN"/>
        </w:rPr>
        <w:t>在常态化新冠疫情防控之下，</w:t>
      </w:r>
      <w:r>
        <w:rPr>
          <w:rFonts w:hint="eastAsia" w:ascii="方正仿宋简体" w:hAnsi="方正仿宋简体" w:eastAsia="方正仿宋简体" w:cs="方正仿宋简体"/>
          <w:sz w:val="34"/>
          <w:szCs w:val="34"/>
        </w:rPr>
        <w:t>青铜峡旅游产业发展面临五个机遇：一是全球疫情蔓延和国际关系更加复杂多变，出境旅游需求转化为国内高端文旅需求，为青铜峡旅游产业发展注入内需动力；二是旅游市场需求变化，进一步彰显青铜峡文旅新价值和独特魅力，有机会抢占新的发展制高点；三是黄河流域高质量发展先行区建设，要求发展黄河文化旅游产业，打造在全国有影响力、世界有知名度的黄河文化旅游带，有助于青铜峡突破旅游产业发展瓶颈，重塑黄河旅游资源优势；四是新科技革命加速，为青铜峡旅游产业向各领域、多方位、全链条融合发展，不断丰富产业供给要素，持续提升服务水平提供新动能、新优势；五是文旅融合进程加快，促进区域综合优势叠加、聚能裂变。</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22" w:name="_Toc24254"/>
      <w:bookmarkStart w:id="23" w:name="_Toc21558"/>
      <w:r>
        <w:rPr>
          <w:rFonts w:hint="eastAsia" w:ascii="方正黑体简体" w:hAnsi="方正黑体简体" w:eastAsia="方正黑体简体" w:cs="方正黑体简体"/>
          <w:b w:val="0"/>
          <w:bCs/>
          <w:sz w:val="34"/>
          <w:szCs w:val="34"/>
        </w:rPr>
        <w:t>二、发展新趋势</w:t>
      </w:r>
      <w:bookmarkEnd w:id="22"/>
      <w:bookmarkEnd w:id="23"/>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“十四五”时期，尤其在“世界百年未有之大变局”和新冠肺炎疫情的全球蔓延，不仅对全国经济有</w:t>
      </w:r>
      <w:r>
        <w:rPr>
          <w:rFonts w:hint="eastAsia" w:ascii="方正仿宋简体" w:hAnsi="方正仿宋简体" w:eastAsia="方正仿宋简体" w:cs="方正仿宋简体"/>
          <w:sz w:val="34"/>
          <w:szCs w:val="34"/>
          <w:lang w:eastAsia="zh-CN"/>
        </w:rPr>
        <w:t>短期</w:t>
      </w:r>
      <w:r>
        <w:rPr>
          <w:rFonts w:hint="eastAsia" w:ascii="方正仿宋简体" w:hAnsi="方正仿宋简体" w:eastAsia="方正仿宋简体" w:cs="方正仿宋简体"/>
          <w:sz w:val="34"/>
          <w:szCs w:val="34"/>
        </w:rPr>
        <w:t>冲击和影响，更会对国内外旅游产业发展产生明显的中长期影响。“十四五”期间旅游业呈现四大趋势：产业融合将成为主流发展趋势；全域旅游将引领旅游供给侧改革；科技赋能将驱动旅游业态新变革；乡村振兴战略将促进旅游产业新格局。</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outlineLvl w:val="2"/>
        <w:rPr>
          <w:rFonts w:hint="eastAsia" w:ascii="方正仿宋简体" w:hAnsi="方正仿宋简体" w:eastAsia="方正仿宋简体" w:cs="方正仿宋简体"/>
          <w:b/>
          <w:bCs/>
          <w:sz w:val="34"/>
          <w:szCs w:val="34"/>
        </w:rPr>
      </w:pPr>
      <w:r>
        <w:rPr>
          <w:rFonts w:hint="eastAsia" w:ascii="方正楷体简体" w:hAnsi="方正楷体简体" w:eastAsia="方正楷体简体" w:cs="方正楷体简体"/>
          <w:b/>
          <w:bCs/>
          <w:sz w:val="34"/>
          <w:szCs w:val="34"/>
          <w:lang w:eastAsia="zh-CN"/>
        </w:rPr>
        <w:t>（一）国家新战略红利效应突出。</w:t>
      </w:r>
      <w:r>
        <w:rPr>
          <w:rFonts w:hint="eastAsia" w:ascii="方正仿宋简体" w:hAnsi="方正仿宋简体" w:eastAsia="方正仿宋简体" w:cs="方正仿宋简体"/>
          <w:sz w:val="34"/>
          <w:szCs w:val="34"/>
        </w:rPr>
        <w:t>国家“一带一路”和黄河流域高质量发展先行区战略，为青铜峡旅游业的发展拓宽了空间、创造了优良的外部环境。青铜峡全域旅游将通过黄河岸边文化旅游产业带的开发从而带动青铜峡整个区域的旅游发展。</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（二）战略性支柱产业地位越来越突出。</w:t>
      </w:r>
      <w:r>
        <w:rPr>
          <w:rFonts w:hint="eastAsia" w:ascii="方正仿宋简体" w:hAnsi="方正仿宋简体" w:eastAsia="方正仿宋简体" w:cs="方正仿宋简体"/>
          <w:sz w:val="34"/>
          <w:szCs w:val="34"/>
        </w:rPr>
        <w:t>青铜峡市</w:t>
      </w:r>
      <w:r>
        <w:rPr>
          <w:rFonts w:hint="eastAsia" w:ascii="方正仿宋简体" w:hAnsi="方正仿宋简体" w:eastAsia="方正仿宋简体" w:cs="方正仿宋简体"/>
          <w:sz w:val="34"/>
          <w:szCs w:val="34"/>
          <w:lang w:eastAsia="zh-CN"/>
        </w:rPr>
        <w:t>被评选为“</w:t>
      </w:r>
      <w:r>
        <w:rPr>
          <w:rFonts w:hint="eastAsia" w:ascii="方正仿宋简体" w:hAnsi="方正仿宋简体" w:eastAsia="方正仿宋简体" w:cs="方正仿宋简体"/>
          <w:sz w:val="34"/>
          <w:szCs w:val="34"/>
        </w:rPr>
        <w:t>国家全域旅游示范区</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w:t>
      </w:r>
      <w:r>
        <w:rPr>
          <w:rFonts w:hint="eastAsia" w:ascii="方正仿宋简体" w:hAnsi="方正仿宋简体" w:eastAsia="方正仿宋简体" w:cs="方正仿宋简体"/>
          <w:sz w:val="34"/>
          <w:szCs w:val="34"/>
          <w:lang w:eastAsia="zh-CN"/>
        </w:rPr>
        <w:t>在自治区将文化</w:t>
      </w:r>
      <w:r>
        <w:rPr>
          <w:rFonts w:hint="eastAsia" w:ascii="方正仿宋简体" w:hAnsi="方正仿宋简体" w:eastAsia="方正仿宋简体" w:cs="方正仿宋简体"/>
          <w:sz w:val="34"/>
          <w:szCs w:val="34"/>
        </w:rPr>
        <w:t>旅游</w:t>
      </w:r>
      <w:r>
        <w:rPr>
          <w:rFonts w:hint="eastAsia" w:ascii="方正仿宋简体" w:hAnsi="方正仿宋简体" w:eastAsia="方正仿宋简体" w:cs="方正仿宋简体"/>
          <w:sz w:val="34"/>
          <w:szCs w:val="34"/>
          <w:lang w:eastAsia="zh-CN"/>
        </w:rPr>
        <w:t>列入全区推进黄河流域生态保护和高质量发展先行区建设九大产业之一的背景下，旅游产业</w:t>
      </w:r>
      <w:r>
        <w:rPr>
          <w:rFonts w:hint="eastAsia" w:ascii="方正仿宋简体" w:hAnsi="方正仿宋简体" w:eastAsia="方正仿宋简体" w:cs="方正仿宋简体"/>
          <w:sz w:val="34"/>
          <w:szCs w:val="34"/>
        </w:rPr>
        <w:t>逐步成为青铜峡市绿色产业发展崛起的支柱产业。</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（三）黄河沿线地区高质量发展与合作越发紧密。</w:t>
      </w:r>
      <w:r>
        <w:rPr>
          <w:rFonts w:hint="eastAsia" w:ascii="方正仿宋简体" w:hAnsi="方正仿宋简体" w:eastAsia="方正仿宋简体" w:cs="方正仿宋简体"/>
          <w:sz w:val="34"/>
          <w:szCs w:val="34"/>
        </w:rPr>
        <w:t>青铜峡市地处宁夏引黄古灌区核心地（世界灌溉工程遗产），被誉为“九渠之首”，其“望得见牛首山、看得见黄河水、记得住贺兰山”金字招牌与独特的黄河文化、水工文化、农耕文化、民俗文化等人文资源相结合，形成独具特色的沿黄生态旅游景观优势。新时代，作为自治区黄河流域生态保护和高质量发展先行区建设的重要组成，青铜峡市将迎接内外结合、东西联动、多项并进的重要战略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83" w:firstLineChars="200"/>
        <w:textAlignment w:val="auto"/>
        <w:rPr>
          <w:rFonts w:hint="eastAsia" w:ascii="方正仿宋简体" w:hAnsi="方正仿宋简体" w:eastAsia="方正仿宋简体" w:cs="方正仿宋简体"/>
          <w:b/>
          <w:bCs/>
          <w:sz w:val="34"/>
          <w:szCs w:val="34"/>
        </w:rPr>
      </w:pPr>
      <w:r>
        <w:rPr>
          <w:rFonts w:hint="eastAsia" w:ascii="方正楷体简体" w:hAnsi="方正楷体简体" w:eastAsia="方正楷体简体" w:cs="方正楷体简体"/>
          <w:b/>
          <w:bCs/>
          <w:sz w:val="34"/>
          <w:szCs w:val="34"/>
          <w:lang w:eastAsia="zh-CN"/>
        </w:rPr>
        <w:t>（四）产业融合发展日益深化。</w:t>
      </w:r>
      <w:r>
        <w:rPr>
          <w:rFonts w:hint="eastAsia" w:ascii="方正仿宋简体" w:hAnsi="方正仿宋简体" w:eastAsia="方正仿宋简体" w:cs="方正仿宋简体"/>
          <w:sz w:val="34"/>
          <w:szCs w:val="34"/>
        </w:rPr>
        <w:t>文化和旅游的产业资源融合，科技进步带来的技术融合，借“一带一路</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乡村振兴”之势和“旅游+、融合发展”之势，将“旅游+”战略从农业、工业、文化、互联网等传统产业进一步细化延伸至非遗、艺术、群艺等，着力构建融合式旅游经济体系，加快催生新型产业发展集群，实现产业层次的优化升级。</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（五）旅游吸引物和目的地建设日趋完善。</w:t>
      </w:r>
      <w:r>
        <w:rPr>
          <w:rFonts w:hint="eastAsia" w:ascii="方正仿宋简体" w:hAnsi="方正仿宋简体" w:eastAsia="方正仿宋简体" w:cs="方正仿宋简体"/>
          <w:sz w:val="34"/>
          <w:szCs w:val="34"/>
        </w:rPr>
        <w:t>青铜峡市成功创建国家全域旅游示范区，将不断践行全域旅游发展理念和模式。全市A级景区、旅游度假区、文化旅游名城、名镇、经典旅游线路等旅游吸引物和目的地体系将不断完善，逐步升级换代。</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（六）创意驱动文化旅游产业持续发展。</w:t>
      </w:r>
      <w:r>
        <w:rPr>
          <w:rFonts w:hint="eastAsia" w:ascii="方正仿宋简体" w:hAnsi="方正仿宋简体" w:eastAsia="方正仿宋简体" w:cs="方正仿宋简体"/>
          <w:sz w:val="34"/>
          <w:szCs w:val="34"/>
        </w:rPr>
        <w:t>丰富的自然文化旅游资源使得青铜峡在沿黄旅游发展方面与周边区域具有明显的“比较优势”，青铜峡历史文化底蕴深厚，资源特质吻合未来旅游需求。如果实现自然资源、黄河文化的旅游化和旅游的本土化，丰富旅游产品文化内涵、开拓新的创意旅游产品、完善全域旅游产品结构</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青铜峡文化魅力必然在旅游的直接刺激下真正显现，使青铜峡成为全国首屈一指的、不可替代的文化旅游胜地。</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（七）科技赋能加快智慧旅游建设。</w:t>
      </w:r>
      <w:r>
        <w:rPr>
          <w:rFonts w:hint="eastAsia" w:ascii="方正仿宋简体" w:hAnsi="方正仿宋简体" w:eastAsia="方正仿宋简体" w:cs="方正仿宋简体"/>
          <w:sz w:val="34"/>
          <w:szCs w:val="34"/>
        </w:rPr>
        <w:t>推动未来智慧旅游发展围绕智慧服务、智慧营销、智慧管理等方面展开。为旅游者提供更为个性、便捷、智能的服务，改善旅游者的体验感，提高旅游满意度。</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（八）</w:t>
      </w:r>
      <w:r>
        <w:rPr>
          <w:rFonts w:hint="eastAsia" w:ascii="方正楷体简体" w:hAnsi="方正楷体简体" w:eastAsia="方正楷体简体" w:cs="方正楷体简体"/>
          <w:b/>
          <w:bCs/>
          <w:sz w:val="34"/>
          <w:szCs w:val="34"/>
        </w:rPr>
        <w:t>乡村振兴带来文旅经济新热点。</w:t>
      </w:r>
      <w:r>
        <w:rPr>
          <w:rFonts w:hint="eastAsia" w:ascii="方正仿宋简体" w:hAnsi="方正仿宋简体" w:eastAsia="方正仿宋简体" w:cs="方正仿宋简体"/>
          <w:sz w:val="34"/>
          <w:szCs w:val="34"/>
        </w:rPr>
        <w:t>乡村旅游是乡村振兴战略和全面小康社会建设的大支撑。以农耕文化为魂、以田园风光为韵、以村落民宅为形、以生态农业为基，“土感情”“老样子”“好传承”“新活力”兼融的乡村旅游产业正在迅猛发展，乡村文旅新热点不断涌现。</w:t>
      </w:r>
    </w:p>
    <w:p>
      <w:pPr>
        <w:keepNext w:val="0"/>
        <w:keepLines w:val="0"/>
        <w:pageBreakBefore w:val="0"/>
        <w:widowControl w:val="0"/>
        <w:kinsoku/>
        <w:wordWrap/>
        <w:overflowPunct/>
        <w:topLinePunct w:val="0"/>
        <w:bidi w:val="0"/>
        <w:spacing w:line="560" w:lineRule="exact"/>
        <w:ind w:firstLine="680" w:firstLineChars="200"/>
        <w:textAlignment w:val="auto"/>
        <w:rPr>
          <w:rFonts w:hint="eastAsia" w:ascii="方正仿宋简体" w:hAnsi="方正仿宋简体" w:eastAsia="方正仿宋简体" w:cs="方正仿宋简体"/>
          <w:sz w:val="34"/>
          <w:szCs w:val="34"/>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sectPr>
          <w:headerReference r:id="rId9" w:type="default"/>
          <w:footerReference r:id="rId10" w:type="default"/>
          <w:pgSz w:w="11906" w:h="16838"/>
          <w:pgMar w:top="1440" w:right="1800" w:bottom="1440" w:left="1800" w:header="851" w:footer="992" w:gutter="0"/>
          <w:pgNumType w:fmt="numberInDash"/>
          <w:cols w:space="720" w:num="1"/>
          <w:docGrid w:type="lines" w:linePitch="312" w:charSpace="0"/>
        </w:sectPr>
      </w:pPr>
    </w:p>
    <w:p>
      <w:pPr>
        <w:pStyle w:val="2"/>
        <w:autoSpaceDE w:val="0"/>
        <w:autoSpaceDN w:val="0"/>
        <w:spacing w:before="156" w:beforeLines="50" w:after="156" w:afterLines="50" w:line="360" w:lineRule="auto"/>
        <w:jc w:val="center"/>
        <w:outlineLvl w:val="0"/>
        <w:rPr>
          <w:rFonts w:hint="eastAsia" w:ascii="Times New Roman" w:hAnsi="Times New Roman" w:eastAsia="黑体" w:cs="Times New Roman"/>
          <w:b/>
          <w:kern w:val="0"/>
          <w:sz w:val="36"/>
          <w:szCs w:val="36"/>
        </w:rPr>
      </w:pPr>
      <w:bookmarkStart w:id="24" w:name="_Toc32384"/>
      <w:r>
        <w:rPr>
          <w:rFonts w:hint="eastAsia" w:ascii="Times New Roman" w:hAnsi="Times New Roman" w:eastAsia="黑体" w:cs="Times New Roman"/>
          <w:b/>
          <w:kern w:val="0"/>
          <w:sz w:val="36"/>
          <w:szCs w:val="36"/>
        </w:rPr>
        <w:t>第二章 转型升级，明确旅游高质量发展新目标</w:t>
      </w:r>
      <w:bookmarkEnd w:id="24"/>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25" w:name="_Toc27116"/>
      <w:r>
        <w:rPr>
          <w:rFonts w:hint="eastAsia" w:ascii="黑体" w:hAnsi="黑体" w:eastAsia="黑体" w:cs="黑体"/>
          <w:b w:val="0"/>
          <w:bCs/>
          <w:kern w:val="0"/>
          <w:sz w:val="34"/>
          <w:szCs w:val="34"/>
        </w:rPr>
        <w:t>第一节 指导思想</w:t>
      </w:r>
      <w:bookmarkEnd w:id="25"/>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始终坚持以习近平新时代中国特色社会主义思想为指导，深入贯彻党的十九大和十九届二中、三中、四中、五中全会精神，全面落实习近平总书记视察宁夏重要讲话精神，牢固树立新发展理念，以提升高质量发展为总领，以“转型升级，快速提质”为主线，做好“调、转、增、融”四篇文章，依托“黄河岸边、稻花香里、贺兰山下”三大产业板块，统筹推进旅游产业向各领域、多方位、全链条融合发展，助力经济转型、城市转型、社会转型，将文化旅游业</w:t>
      </w:r>
      <w:r>
        <w:rPr>
          <w:rFonts w:hint="eastAsia" w:ascii="方正仿宋简体" w:hAnsi="方正仿宋简体" w:eastAsia="方正仿宋简体" w:cs="方正仿宋简体"/>
          <w:color w:val="auto"/>
          <w:sz w:val="34"/>
          <w:szCs w:val="34"/>
        </w:rPr>
        <w:t>培育发展</w:t>
      </w:r>
      <w:r>
        <w:rPr>
          <w:rFonts w:hint="eastAsia" w:ascii="方正仿宋简体" w:hAnsi="方正仿宋简体" w:eastAsia="方正仿宋简体" w:cs="方正仿宋简体"/>
          <w:sz w:val="34"/>
          <w:szCs w:val="34"/>
        </w:rPr>
        <w:t>为全市国民经济的支柱产业。</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26" w:name="_Toc6013"/>
      <w:r>
        <w:rPr>
          <w:rFonts w:hint="eastAsia" w:ascii="黑体" w:hAnsi="黑体" w:eastAsia="黑体" w:cs="黑体"/>
          <w:b w:val="0"/>
          <w:bCs/>
          <w:kern w:val="0"/>
          <w:sz w:val="34"/>
          <w:szCs w:val="34"/>
        </w:rPr>
        <w:t>第二节 发展原则</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坚持高质量发展。</w:t>
      </w:r>
      <w:r>
        <w:rPr>
          <w:rFonts w:hint="eastAsia" w:ascii="方正仿宋简体" w:hAnsi="方正仿宋简体" w:eastAsia="方正仿宋简体" w:cs="方正仿宋简体"/>
          <w:sz w:val="34"/>
          <w:szCs w:val="34"/>
        </w:rPr>
        <w:t>加速推动旅游业转型升级、传统服务业赋能和新业态培育壮大，深化旅游供给侧改革，优化旅游供给体系，完善产业结构、产品结构，努力实现由旅游供给不足向供需基本平衡转变。积极践行“两山”理念，深度改善人居环境，推动绿色发展，持续提升生态宜居水平。</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color w:val="FF0000"/>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坚持产业融合发展。</w:t>
      </w:r>
      <w:r>
        <w:rPr>
          <w:rFonts w:hint="eastAsia" w:ascii="方正仿宋简体" w:hAnsi="方正仿宋简体" w:eastAsia="方正仿宋简体" w:cs="方正仿宋简体"/>
          <w:sz w:val="34"/>
          <w:szCs w:val="34"/>
        </w:rPr>
        <w:t>抢抓共建“一带一路”、新时代推进西部大开发形成新格局、黄河流域生态保护和高质量发展等重大战略机遇，加速旅游产业与其他产业的跨界融合，深化改革，</w:t>
      </w:r>
      <w:r>
        <w:rPr>
          <w:rFonts w:hint="eastAsia" w:ascii="方正仿宋简体" w:hAnsi="方正仿宋简体" w:eastAsia="方正仿宋简体" w:cs="方正仿宋简体"/>
          <w:color w:val="auto"/>
          <w:sz w:val="34"/>
          <w:szCs w:val="34"/>
        </w:rPr>
        <w:t>创新文旅跨界融合新模式。</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坚持旅游精品战略。</w:t>
      </w:r>
      <w:r>
        <w:rPr>
          <w:rFonts w:hint="eastAsia" w:ascii="方正仿宋简体" w:hAnsi="方正仿宋简体" w:eastAsia="方正仿宋简体" w:cs="方正仿宋简体"/>
          <w:sz w:val="34"/>
          <w:szCs w:val="34"/>
        </w:rPr>
        <w:t>青铜峡旅游业要坚持以特色优势资源开发为基础，突出重点，择优开发</w:t>
      </w:r>
      <w:r>
        <w:rPr>
          <w:rFonts w:hint="eastAsia" w:ascii="方正仿宋简体" w:hAnsi="方正仿宋简体" w:eastAsia="方正仿宋简体" w:cs="方正仿宋简体"/>
          <w:sz w:val="34"/>
          <w:szCs w:val="34"/>
          <w:lang w:val="en-US" w:eastAsia="zh-CN"/>
        </w:rPr>
        <w:t>。</w:t>
      </w:r>
      <w:r>
        <w:rPr>
          <w:rFonts w:hint="eastAsia" w:ascii="方正仿宋简体" w:hAnsi="方正仿宋简体" w:eastAsia="方正仿宋简体" w:cs="方正仿宋简体"/>
          <w:sz w:val="34"/>
          <w:szCs w:val="34"/>
        </w:rPr>
        <w:t>按照高起点、高水平要求，打造民族文化内涵</w:t>
      </w:r>
      <w:r>
        <w:rPr>
          <w:rFonts w:hint="eastAsia" w:ascii="方正仿宋简体" w:hAnsi="方正仿宋简体" w:eastAsia="方正仿宋简体" w:cs="方正仿宋简体"/>
          <w:color w:val="auto"/>
          <w:sz w:val="34"/>
          <w:szCs w:val="34"/>
        </w:rPr>
        <w:t>丰富、符合国际化标准、具有</w:t>
      </w:r>
      <w:r>
        <w:rPr>
          <w:rFonts w:hint="eastAsia" w:ascii="方正仿宋简体" w:hAnsi="方正仿宋简体" w:eastAsia="方正仿宋简体" w:cs="方正仿宋简体"/>
          <w:color w:val="auto"/>
          <w:sz w:val="34"/>
          <w:szCs w:val="34"/>
          <w:lang w:val="en-US" w:eastAsia="zh-CN"/>
        </w:rPr>
        <w:t>高品位</w:t>
      </w:r>
      <w:r>
        <w:rPr>
          <w:rFonts w:hint="eastAsia" w:ascii="方正仿宋简体" w:hAnsi="方正仿宋简体" w:eastAsia="方正仿宋简体" w:cs="方正仿宋简体"/>
          <w:color w:val="auto"/>
          <w:sz w:val="34"/>
          <w:szCs w:val="34"/>
        </w:rPr>
        <w:t>的旅游精品和绝品，</w:t>
      </w:r>
      <w:r>
        <w:rPr>
          <w:rFonts w:hint="eastAsia" w:ascii="方正仿宋简体" w:hAnsi="方正仿宋简体" w:eastAsia="方正仿宋简体" w:cs="方正仿宋简体"/>
          <w:color w:val="auto"/>
          <w:sz w:val="34"/>
          <w:szCs w:val="34"/>
          <w:lang w:eastAsia="zh-CN"/>
        </w:rPr>
        <w:t>构建</w:t>
      </w:r>
      <w:r>
        <w:rPr>
          <w:rFonts w:hint="eastAsia" w:ascii="方正仿宋简体" w:hAnsi="方正仿宋简体" w:eastAsia="方正仿宋简体" w:cs="方正仿宋简体"/>
          <w:color w:val="auto"/>
          <w:sz w:val="34"/>
          <w:szCs w:val="34"/>
        </w:rPr>
        <w:t>具有国际竞争力的旅游平台。</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坚持产业综合配套。</w:t>
      </w:r>
      <w:r>
        <w:rPr>
          <w:rFonts w:hint="eastAsia" w:ascii="方正仿宋简体" w:hAnsi="方正仿宋简体" w:eastAsia="方正仿宋简体" w:cs="方正仿宋简体"/>
          <w:sz w:val="34"/>
          <w:szCs w:val="34"/>
        </w:rPr>
        <w:t>旅游业开发是一项系统工程，要使吃、住、行、游、购、娱六大要素成为配套，形成功能完备的产业链，以精品旅游开发为重点，大力推动宾馆、餐饮、购物、娱乐休闲、演艺、工艺品、农特产品加工的配套发展和开发，才能形成产业优势。</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坚持人才队伍建设。</w:t>
      </w:r>
      <w:r>
        <w:rPr>
          <w:rFonts w:hint="eastAsia" w:ascii="方正仿宋简体" w:hAnsi="方正仿宋简体" w:eastAsia="方正仿宋简体" w:cs="方正仿宋简体"/>
          <w:sz w:val="34"/>
          <w:szCs w:val="34"/>
        </w:rPr>
        <w:t>随着基础设施的不断完善，旅游人才和旅游服务质量已成为制约青铜峡市旅游发展的主要障碍，抓好人才培养和旅游部门的建设，提升行业整体</w:t>
      </w:r>
      <w:r>
        <w:rPr>
          <w:rFonts w:hint="eastAsia" w:ascii="方正仿宋简体" w:hAnsi="方正仿宋简体" w:eastAsia="方正仿宋简体" w:cs="方正仿宋简体"/>
          <w:color w:val="auto"/>
          <w:sz w:val="34"/>
          <w:szCs w:val="34"/>
        </w:rPr>
        <w:t>水平，</w:t>
      </w:r>
      <w:r>
        <w:rPr>
          <w:rFonts w:hint="eastAsia" w:ascii="方正仿宋简体" w:hAnsi="方正仿宋简体" w:eastAsia="方正仿宋简体" w:cs="方正仿宋简体"/>
          <w:sz w:val="34"/>
          <w:szCs w:val="34"/>
        </w:rPr>
        <w:t>提高旅游服务意识、服务水平，促进旅游目的地良好形象的形成。</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27" w:name="_Toc3960"/>
      <w:r>
        <w:rPr>
          <w:rFonts w:hint="eastAsia" w:ascii="黑体" w:hAnsi="黑体" w:eastAsia="黑体" w:cs="黑体"/>
          <w:b w:val="0"/>
          <w:bCs/>
          <w:kern w:val="0"/>
          <w:sz w:val="34"/>
          <w:szCs w:val="34"/>
        </w:rPr>
        <w:t>第三节 发展战略</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协同发展战略。</w:t>
      </w:r>
      <w:r>
        <w:rPr>
          <w:rFonts w:hint="eastAsia" w:ascii="方正仿宋简体" w:hAnsi="方正仿宋简体" w:eastAsia="方正仿宋简体" w:cs="方正仿宋简体"/>
          <w:sz w:val="34"/>
          <w:szCs w:val="34"/>
        </w:rPr>
        <w:t>综合考虑黄河两岸旅游发展，通过共同举办“黄河金岸”马拉松赛、共同开辟黄河水上游览航线、差异互补化开发旅游休闲体验项目等打造黄河岸边文化旅游产业带，使其成为青铜峡与利通区同城一体化空间拓展的抓手、旅游形象展示的窗口，最终实现青铜峡与利通区融合化发展、协同化发展、同城化发展。</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产业共融战略。</w:t>
      </w:r>
      <w:r>
        <w:rPr>
          <w:rFonts w:hint="eastAsia" w:ascii="方正仿宋简体" w:hAnsi="方正仿宋简体" w:eastAsia="方正仿宋简体" w:cs="方正仿宋简体"/>
          <w:sz w:val="34"/>
          <w:szCs w:val="34"/>
        </w:rPr>
        <w:t>充分发挥旅游业关联带动作用，加快推进旅游产业与其他产业的深度融合，带动一产，促进二产，提升三产，实现“一三互动、二三互送、三三互融”。全面嫁接“优势产业”能级，推进旅游资源</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产品</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产业</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资产的华丽转变，最终实现产品丰富化、产品极品化、景区个性化，让游线动起来，让游客多吃、多住、多休闲、多娱乐、多购物，全面加大产业关联性，最终拉动消费能级。</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w w:val="94"/>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品牌塑造战略。</w:t>
      </w:r>
      <w:r>
        <w:rPr>
          <w:rFonts w:hint="eastAsia" w:ascii="方正仿宋简体" w:hAnsi="方正仿宋简体" w:eastAsia="方正仿宋简体" w:cs="方正仿宋简体"/>
          <w:w w:val="94"/>
          <w:sz w:val="34"/>
          <w:szCs w:val="34"/>
        </w:rPr>
        <w:t>以地为脉，以文为魂，针对青铜峡市旅游资源特色和市场需求，提出以“印象黄河·彩虹之上”为主题定位，快速树立并提升青铜峡市旅游整体形象，提高青铜峡市旅游的知名度与辨识度，以此带动青铜峡市旅游业发展。</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区域联动战略。</w:t>
      </w:r>
      <w:r>
        <w:rPr>
          <w:rFonts w:hint="eastAsia" w:ascii="方正仿宋简体" w:hAnsi="方正仿宋简体" w:eastAsia="方正仿宋简体" w:cs="方正仿宋简体"/>
          <w:sz w:val="34"/>
          <w:szCs w:val="34"/>
        </w:rPr>
        <w:t>充分利用“借、补、创、合”四柄利剑，以实现区域旅游共赢发展</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b/>
          <w:bCs/>
          <w:sz w:val="34"/>
          <w:szCs w:val="34"/>
        </w:rPr>
        <w:t>借：</w:t>
      </w:r>
      <w:r>
        <w:rPr>
          <w:rFonts w:hint="eastAsia" w:ascii="方正仿宋简体" w:hAnsi="方正仿宋简体" w:eastAsia="方正仿宋简体" w:cs="方正仿宋简体"/>
          <w:sz w:val="34"/>
          <w:szCs w:val="34"/>
        </w:rPr>
        <w:t>借助区域或周边优势品牌或宏观大势，如“黄河流域高质量发展先行区建设”“塞上江南·神奇宁夏”“黄河金岸”旅游品牌等，为青铜峡旅游提供更有力的发展路径</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b/>
          <w:bCs/>
          <w:sz w:val="34"/>
          <w:szCs w:val="34"/>
        </w:rPr>
        <w:t>补：</w:t>
      </w:r>
      <w:r>
        <w:rPr>
          <w:rFonts w:hint="eastAsia" w:ascii="方正仿宋简体" w:hAnsi="方正仿宋简体" w:eastAsia="方正仿宋简体" w:cs="方正仿宋简体"/>
          <w:sz w:val="34"/>
          <w:szCs w:val="34"/>
        </w:rPr>
        <w:t>针对旅游市场发展趋势，弥补区域市场对高端休闲度假产品、深度体验休闲产品及一站式休闲度假养生产品的需求，不仅与区域旅游实现差异化发展，而且在区域旅游中独树一帜</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b/>
          <w:bCs/>
          <w:sz w:val="34"/>
          <w:szCs w:val="34"/>
        </w:rPr>
        <w:t>创：</w:t>
      </w:r>
      <w:r>
        <w:rPr>
          <w:rFonts w:hint="eastAsia" w:ascii="方正仿宋简体" w:hAnsi="方正仿宋简体" w:eastAsia="方正仿宋简体" w:cs="方正仿宋简体"/>
          <w:sz w:val="34"/>
          <w:szCs w:val="34"/>
        </w:rPr>
        <w:t>通过主题文化体验、滨水休闲娱乐、生态农业休闲、酒庄休闲度假、户外康体运动、健康养生养老等休闲度假养生旅游产品新形态的开发，创造市场新需求，引领市场新潮流，占领市场制高点</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b/>
          <w:bCs/>
          <w:sz w:val="34"/>
          <w:szCs w:val="34"/>
        </w:rPr>
        <w:t>合：</w:t>
      </w:r>
      <w:r>
        <w:rPr>
          <w:rFonts w:hint="eastAsia" w:ascii="方正仿宋简体" w:hAnsi="方正仿宋简体" w:eastAsia="方正仿宋简体" w:cs="方正仿宋简体"/>
          <w:sz w:val="34"/>
          <w:szCs w:val="34"/>
        </w:rPr>
        <w:t>以突出“大旅游”的思想，积极打造成为大银川旅游圈、宁夏沿黄旅游城市群等的核心节点，通过市场共建、信息互通、客源互送、游线组合、联合营销等加强区域合作，促进联动发展。</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sz w:val="32"/>
          <w:szCs w:val="32"/>
        </w:rPr>
      </w:pPr>
      <w:r>
        <w:rPr>
          <w:rFonts w:hint="eastAsia" w:ascii="方正仿宋简体" w:hAnsi="方正仿宋简体" w:eastAsia="方正仿宋简体" w:cs="方正仿宋简体"/>
          <w:b/>
          <w:bCs/>
          <w:sz w:val="34"/>
          <w:szCs w:val="34"/>
          <w:lang w:eastAsia="zh-CN"/>
        </w:rPr>
        <w:t>——</w:t>
      </w:r>
      <w:r>
        <w:rPr>
          <w:rFonts w:hint="eastAsia" w:ascii="方正仿宋简体" w:hAnsi="方正仿宋简体" w:eastAsia="方正仿宋简体" w:cs="方正仿宋简体"/>
          <w:b/>
          <w:bCs/>
          <w:sz w:val="34"/>
          <w:szCs w:val="34"/>
        </w:rPr>
        <w:t>智慧发展战略。</w:t>
      </w:r>
      <w:r>
        <w:rPr>
          <w:rFonts w:hint="eastAsia" w:ascii="方正仿宋简体" w:hAnsi="方正仿宋简体" w:eastAsia="方正仿宋简体" w:cs="方正仿宋简体"/>
          <w:sz w:val="34"/>
          <w:szCs w:val="34"/>
        </w:rPr>
        <w:t>运用大数据、人工智能、物联网、区块链、5G等创新科技，推进信息资源整合共享和公共服务智慧化，打造符合现代旅游需求的服务体验模式。推进文旅企业服务智慧化，提升文旅产业智慧化经营服务水平。大力发展数字文创产业，激发文旅新业态活力。</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28" w:name="_Toc29936"/>
      <w:r>
        <w:rPr>
          <w:rFonts w:hint="eastAsia" w:ascii="黑体" w:hAnsi="黑体" w:eastAsia="黑体" w:cs="黑体"/>
          <w:b w:val="0"/>
          <w:bCs/>
          <w:kern w:val="0"/>
          <w:sz w:val="34"/>
          <w:szCs w:val="34"/>
        </w:rPr>
        <w:t>第四节 发展目标</w:t>
      </w:r>
      <w:bookmarkEnd w:id="28"/>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color w:val="auto"/>
          <w:sz w:val="34"/>
          <w:szCs w:val="34"/>
        </w:rPr>
        <w:t>以</w:t>
      </w:r>
      <w:r>
        <w:rPr>
          <w:rFonts w:hint="eastAsia" w:ascii="方正仿宋简体" w:hAnsi="方正仿宋简体" w:eastAsia="方正仿宋简体" w:cs="方正仿宋简体"/>
          <w:color w:val="auto"/>
          <w:sz w:val="34"/>
          <w:szCs w:val="34"/>
          <w:lang w:eastAsia="zh-CN"/>
        </w:rPr>
        <w:t>青铜峡成功创建</w:t>
      </w:r>
      <w:r>
        <w:rPr>
          <w:rFonts w:hint="eastAsia" w:ascii="方正仿宋简体" w:hAnsi="方正仿宋简体" w:eastAsia="方正仿宋简体" w:cs="方正仿宋简体"/>
          <w:color w:val="auto"/>
          <w:sz w:val="34"/>
          <w:szCs w:val="34"/>
        </w:rPr>
        <w:t>国家全域旅游示范</w:t>
      </w:r>
      <w:r>
        <w:rPr>
          <w:rFonts w:hint="eastAsia" w:ascii="方正仿宋简体" w:hAnsi="方正仿宋简体" w:eastAsia="方正仿宋简体" w:cs="方正仿宋简体"/>
          <w:color w:val="auto"/>
          <w:sz w:val="34"/>
          <w:szCs w:val="34"/>
          <w:lang w:eastAsia="zh-CN"/>
        </w:rPr>
        <w:t>区</w:t>
      </w:r>
      <w:r>
        <w:rPr>
          <w:rFonts w:hint="eastAsia" w:ascii="方正仿宋简体" w:hAnsi="方正仿宋简体" w:eastAsia="方正仿宋简体" w:cs="方正仿宋简体"/>
          <w:color w:val="auto"/>
          <w:sz w:val="34"/>
          <w:szCs w:val="34"/>
        </w:rPr>
        <w:t>为契机，</w:t>
      </w:r>
      <w:r>
        <w:rPr>
          <w:rFonts w:hint="eastAsia" w:ascii="方正仿宋简体" w:hAnsi="方正仿宋简体" w:eastAsia="方正仿宋简体" w:cs="方正仿宋简体"/>
          <w:sz w:val="34"/>
          <w:szCs w:val="34"/>
        </w:rPr>
        <w:t>结合产业发展新机遇、新形势，构建旅游与多产业融合发展新业态，培育拓展乡村旅游、夜间旅游，重点推进资源整合、产品整合，提升青铜峡旅游品牌影响力，构建宁夏全域旅游和“旅游+”融合发展示范区，争当自治区文化旅游产业高质量发展先行区“排头兵”。</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经济目标：</w:t>
      </w:r>
      <w:r>
        <w:rPr>
          <w:rFonts w:hint="eastAsia" w:ascii="方正仿宋简体" w:hAnsi="方正仿宋简体" w:eastAsia="方正仿宋简体" w:cs="方正仿宋简体"/>
          <w:sz w:val="34"/>
          <w:szCs w:val="34"/>
        </w:rPr>
        <w:t>到2025年，全市文化旅游产业增加值占地区生产总值比重达到15%，</w:t>
      </w:r>
      <w:r>
        <w:rPr>
          <w:rFonts w:hint="eastAsia" w:ascii="方正仿宋简体" w:hAnsi="方正仿宋简体" w:eastAsia="方正仿宋简体" w:cs="方正仿宋简体"/>
          <w:sz w:val="34"/>
          <w:szCs w:val="34"/>
          <w:lang w:eastAsia="zh-CN"/>
        </w:rPr>
        <w:t>“十四五”期间，</w:t>
      </w:r>
      <w:r>
        <w:rPr>
          <w:rFonts w:hint="eastAsia" w:ascii="方正仿宋简体" w:hAnsi="方正仿宋简体" w:eastAsia="方正仿宋简体" w:cs="方正仿宋简体"/>
          <w:sz w:val="34"/>
          <w:szCs w:val="34"/>
        </w:rPr>
        <w:t>游客接待量年均增长20%左右，游客接待总量突破2000万人次（注：自治区提出“全区游客接待量年均增长25%左右，2025年接待人数力争突破1亿人次，旅游总收入力争突破1000亿元”的目标计划），旅游产业发展主要指标位居全区同类城市前列。</w:t>
      </w:r>
    </w:p>
    <w:p>
      <w:pPr>
        <w:keepNext w:val="0"/>
        <w:keepLines w:val="0"/>
        <w:pageBreakBefore w:val="0"/>
        <w:widowControl w:val="0"/>
        <w:kinsoku/>
        <w:wordWrap/>
        <w:overflowPunct/>
        <w:topLinePunct w:val="0"/>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品牌创建目标：</w:t>
      </w:r>
      <w:r>
        <w:rPr>
          <w:rFonts w:hint="eastAsia" w:ascii="方正仿宋简体" w:hAnsi="方正仿宋简体" w:eastAsia="方正仿宋简体" w:cs="方正仿宋简体"/>
          <w:sz w:val="34"/>
          <w:szCs w:val="34"/>
        </w:rPr>
        <w:t>到2025年，全市建成A级景区</w:t>
      </w:r>
      <w:r>
        <w:rPr>
          <w:rFonts w:hint="eastAsia" w:ascii="方正仿宋简体" w:hAnsi="方正仿宋简体" w:eastAsia="方正仿宋简体" w:cs="方正仿宋简体"/>
          <w:sz w:val="34"/>
          <w:szCs w:val="34"/>
          <w:lang w:val="en-US" w:eastAsia="zh-CN"/>
        </w:rPr>
        <w:t>15</w:t>
      </w:r>
      <w:r>
        <w:rPr>
          <w:rFonts w:hint="eastAsia" w:ascii="方正仿宋简体" w:hAnsi="方正仿宋简体" w:eastAsia="方正仿宋简体" w:cs="方正仿宋简体"/>
          <w:sz w:val="34"/>
          <w:szCs w:val="34"/>
        </w:rPr>
        <w:t>家以上。其中，培育创建黄河大峡谷</w:t>
      </w:r>
      <w:r>
        <w:rPr>
          <w:rFonts w:hint="eastAsia" w:ascii="方正仿宋简体" w:hAnsi="方正仿宋简体" w:eastAsia="方正仿宋简体" w:cs="方正仿宋简体"/>
          <w:sz w:val="34"/>
          <w:szCs w:val="34"/>
          <w:lang w:val="en-US" w:eastAsia="zh-CN"/>
        </w:rPr>
        <w:t>1</w:t>
      </w:r>
      <w:r>
        <w:rPr>
          <w:rFonts w:hint="eastAsia" w:ascii="方正仿宋简体" w:hAnsi="方正仿宋简体" w:eastAsia="方正仿宋简体" w:cs="方正仿宋简体"/>
          <w:sz w:val="34"/>
          <w:szCs w:val="34"/>
        </w:rPr>
        <w:t>个国家5A级旅游景区；创建</w:t>
      </w:r>
      <w:r>
        <w:rPr>
          <w:rFonts w:hint="eastAsia" w:ascii="方正仿宋简体" w:hAnsi="方正仿宋简体" w:eastAsia="方正仿宋简体" w:cs="方正仿宋简体"/>
          <w:sz w:val="34"/>
          <w:szCs w:val="34"/>
          <w:lang w:eastAsia="zh-CN"/>
        </w:rPr>
        <w:t>黄河坛</w:t>
      </w:r>
      <w:r>
        <w:rPr>
          <w:rFonts w:hint="eastAsia" w:ascii="方正仿宋简体" w:hAnsi="方正仿宋简体" w:eastAsia="方正仿宋简体" w:cs="方正仿宋简体"/>
          <w:sz w:val="34"/>
          <w:szCs w:val="34"/>
          <w:lang w:val="en-US" w:eastAsia="zh-CN"/>
        </w:rPr>
        <w:t>1</w:t>
      </w:r>
      <w:r>
        <w:rPr>
          <w:rFonts w:hint="eastAsia" w:ascii="方正仿宋简体" w:hAnsi="方正仿宋简体" w:eastAsia="方正仿宋简体" w:cs="方正仿宋简体"/>
          <w:sz w:val="34"/>
          <w:szCs w:val="34"/>
        </w:rPr>
        <w:t>个国家4A级旅游景区；创建大坝水利风景区、马长滩欢乐天地旅游区、</w:t>
      </w:r>
      <w:r>
        <w:rPr>
          <w:rFonts w:hint="eastAsia" w:ascii="方正仿宋简体" w:hAnsi="方正仿宋简体" w:eastAsia="方正仿宋简体" w:cs="方正仿宋简体"/>
          <w:sz w:val="34"/>
          <w:szCs w:val="34"/>
          <w:lang w:eastAsia="zh-CN"/>
        </w:rPr>
        <w:t>华昊</w:t>
      </w:r>
      <w:r>
        <w:rPr>
          <w:rFonts w:hint="eastAsia" w:ascii="方正仿宋简体" w:hAnsi="方正仿宋简体" w:eastAsia="方正仿宋简体" w:cs="方正仿宋简体"/>
          <w:sz w:val="34"/>
          <w:szCs w:val="34"/>
        </w:rPr>
        <w:t>酒庄3个国家3A级旅游景区。青铜古镇创建自治区级旅游度假区，古渠首公园纳入国家黄河文化公园体系。</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ascii="Times New Roman" w:hAnsi="Times New Roman"/>
          <w:color w:val="FF0000"/>
          <w:sz w:val="28"/>
          <w:szCs w:val="28"/>
        </w:rPr>
        <w:sectPr>
          <w:pgSz w:w="11906" w:h="16838"/>
          <w:pgMar w:top="2098" w:right="1474" w:bottom="1440" w:left="1587" w:header="851" w:footer="992" w:gutter="0"/>
          <w:pgNumType w:fmt="numberInDash"/>
          <w:cols w:space="720" w:num="1"/>
          <w:docGrid w:type="lines" w:linePitch="312" w:charSpace="0"/>
        </w:sectPr>
      </w:pPr>
      <w:r>
        <w:rPr>
          <w:rFonts w:hint="eastAsia" w:ascii="方正仿宋简体" w:hAnsi="方正仿宋简体" w:eastAsia="方正仿宋简体" w:cs="方正仿宋简体"/>
          <w:sz w:val="34"/>
          <w:szCs w:val="34"/>
        </w:rPr>
        <w:t>乡村旅游方面，成功创建全国休闲农业与乡村旅游示范市（县），构建八大乡村旅游重点镇（陈袁滩镇、叶盛镇、瞿靖镇、邵岗镇、峡口镇、小坝镇、青铜峡镇、大坝镇）、六大休闲农业和乡村旅游精品示范点（西鸽酒庄、龙门村农业生态观光园、地三特色产业示范村、清逸园农庄、罗记农家小院、韦桥村）。</w:t>
      </w:r>
    </w:p>
    <w:p>
      <w:pPr>
        <w:pStyle w:val="2"/>
        <w:autoSpaceDE w:val="0"/>
        <w:autoSpaceDN w:val="0"/>
        <w:spacing w:before="156" w:beforeLines="50" w:after="156" w:afterLines="50" w:line="360" w:lineRule="auto"/>
        <w:jc w:val="center"/>
        <w:outlineLvl w:val="0"/>
        <w:rPr>
          <w:rFonts w:ascii="Times New Roman" w:hAnsi="Times New Roman" w:eastAsia="黑体" w:cs="Times New Roman"/>
          <w:b/>
          <w:kern w:val="0"/>
          <w:sz w:val="36"/>
          <w:szCs w:val="36"/>
        </w:rPr>
      </w:pPr>
      <w:bookmarkStart w:id="29" w:name="_Toc11775"/>
      <w:r>
        <w:rPr>
          <w:rFonts w:ascii="Times New Roman" w:hAnsi="Times New Roman" w:eastAsia="黑体" w:cs="Times New Roman"/>
          <w:b/>
          <w:kern w:val="0"/>
          <w:sz w:val="36"/>
          <w:szCs w:val="36"/>
        </w:rPr>
        <w:t>第三章 有序开发，谋划全域旅游发展新布局</w:t>
      </w:r>
      <w:bookmarkEnd w:id="29"/>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ascii="Times New Roman" w:hAnsi="Times New Roman" w:eastAsia="黑体" w:cs="Times New Roman"/>
          <w:b w:val="0"/>
          <w:bCs/>
          <w:kern w:val="0"/>
          <w:sz w:val="34"/>
          <w:szCs w:val="34"/>
        </w:rPr>
      </w:pPr>
      <w:bookmarkStart w:id="30" w:name="_Toc4447"/>
      <w:r>
        <w:rPr>
          <w:rFonts w:ascii="Times New Roman" w:hAnsi="Times New Roman" w:eastAsia="黑体" w:cs="Times New Roman"/>
          <w:b w:val="0"/>
          <w:bCs/>
          <w:kern w:val="0"/>
          <w:sz w:val="34"/>
          <w:szCs w:val="34"/>
        </w:rPr>
        <w:t>第一节 空间发展策略</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31" w:name="_Toc13980"/>
      <w:bookmarkStart w:id="32" w:name="_Toc6853"/>
      <w:r>
        <w:rPr>
          <w:rFonts w:hint="eastAsia" w:ascii="方正黑体简体" w:hAnsi="方正黑体简体" w:eastAsia="方正黑体简体" w:cs="方正黑体简体"/>
          <w:b w:val="0"/>
          <w:bCs/>
          <w:sz w:val="34"/>
          <w:szCs w:val="34"/>
        </w:rPr>
        <w:t>一、积极融入黄河流域高质量发展战略</w:t>
      </w:r>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积极融入和配合实施沿黄生态建设，高标准开展黄河流域湿地保护、沿线绿化及景观亮化等工作，将生态治理、保护修复项目与景观节点打造、观光廊道等建设相结合，促进生态环境保护与产业发展共同提升、共同推进。以完善提升全域旅游示范区为抓手，通过丰富产品业态和人文内涵，将优秀文化融合贯穿景区开发、项目建设、产品打造等各环节，推动景区旅游向综合旅游目的地转变。</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33" w:name="_Toc1650"/>
      <w:bookmarkStart w:id="34" w:name="_Toc23172"/>
      <w:r>
        <w:rPr>
          <w:rFonts w:hint="eastAsia" w:ascii="方正黑体简体" w:hAnsi="方正黑体简体" w:eastAsia="方正黑体简体" w:cs="方正黑体简体"/>
          <w:b w:val="0"/>
          <w:bCs/>
          <w:sz w:val="34"/>
          <w:szCs w:val="34"/>
        </w:rPr>
        <w:t>二、区域联动打造银川都市圈“后花园”</w:t>
      </w:r>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紧抓青铜峡纳入银川都市圈范围的历史机遇，结合青铜峡全域旅游布局，主动服务区域旅游市场，打造银川都市圈近郊休闲旅游目的地。发挥青铜峡市旅游资源优势，</w:t>
      </w:r>
      <w:r>
        <w:rPr>
          <w:rFonts w:hint="eastAsia" w:ascii="方正仿宋简体" w:hAnsi="方正仿宋简体" w:eastAsia="方正仿宋简体" w:cs="方正仿宋简体"/>
          <w:sz w:val="34"/>
          <w:szCs w:val="34"/>
          <w:lang w:eastAsia="zh-CN"/>
        </w:rPr>
        <w:t>与周边城市的旅游市场互联互通</w:t>
      </w:r>
      <w:r>
        <w:rPr>
          <w:rFonts w:hint="eastAsia" w:ascii="方正仿宋简体" w:hAnsi="方正仿宋简体" w:eastAsia="方正仿宋简体" w:cs="方正仿宋简体"/>
          <w:sz w:val="34"/>
          <w:szCs w:val="34"/>
        </w:rPr>
        <w:t>，通过跨城市多种旅游线路设计，带动整个青铜峡旅游产业发展。实施区域联动式发展战略，联动银川、石嘴山共同培育和打造西北葡萄产业走廊，共建酿酒葡萄“黄金产区”，一体化发展壮大葡萄酒旅游产业。</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35" w:name="_Toc6953"/>
      <w:bookmarkStart w:id="36" w:name="_Toc1151"/>
      <w:r>
        <w:rPr>
          <w:rFonts w:hint="eastAsia" w:ascii="方正黑体简体" w:hAnsi="方正黑体简体" w:eastAsia="方正黑体简体" w:cs="方正黑体简体"/>
          <w:b w:val="0"/>
          <w:bCs/>
          <w:sz w:val="34"/>
          <w:szCs w:val="34"/>
        </w:rPr>
        <w:t>三、协同推进旅游产业利青一体化发展</w:t>
      </w:r>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围绕“利青一体、银吴同城”目标，通过强化设施连通、服务共享、产业互补，积极承担吴忠休闲旅游城市配套功能；坚持差异化发展，着力打造各具特色的文化旅游城市、产品、企业及节庆、演艺、服务等特色品牌。积极协调引导文艺、非遗、娱乐体验、文创产品、特色餐饮等项目进景区，以丰富的项目和业态，增强景区对游客的吸引力。</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ascii="Times New Roman" w:hAnsi="Times New Roman" w:eastAsia="黑体" w:cs="Times New Roman"/>
          <w:b w:val="0"/>
          <w:bCs/>
          <w:kern w:val="0"/>
          <w:sz w:val="34"/>
          <w:szCs w:val="34"/>
        </w:rPr>
      </w:pPr>
      <w:bookmarkStart w:id="37" w:name="_Toc32011"/>
      <w:r>
        <w:rPr>
          <w:rFonts w:ascii="Times New Roman" w:hAnsi="Times New Roman" w:eastAsia="黑体" w:cs="Times New Roman"/>
          <w:b w:val="0"/>
          <w:bCs/>
          <w:kern w:val="0"/>
          <w:sz w:val="34"/>
          <w:szCs w:val="34"/>
        </w:rPr>
        <w:t>第二节 全域空间结构</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以自治区文化旅游高质量发展空间布局为依托，发挥青铜峡位于“黄河文化旅游带、贺兰山文化旅游带”关键节点位置优势，立足青铜峡文化旅游发展基础，构建“三带一长廊”的全域旅游空间发展结构。其中：三带包括黄河岸边生态景观带、牛首山工业旅游带、稻花香里休闲观光带；一长廊为贺兰山下紫色文化长廊。</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ascii="Times New Roman" w:hAnsi="Times New Roman" w:eastAsia="黑体" w:cs="Times New Roman"/>
          <w:b w:val="0"/>
          <w:bCs/>
          <w:kern w:val="0"/>
          <w:sz w:val="34"/>
          <w:szCs w:val="34"/>
        </w:rPr>
      </w:pPr>
      <w:bookmarkStart w:id="38" w:name="_Toc22913"/>
      <w:r>
        <w:rPr>
          <w:rFonts w:ascii="Times New Roman" w:hAnsi="Times New Roman" w:eastAsia="黑体" w:cs="Times New Roman"/>
          <w:b w:val="0"/>
          <w:bCs/>
          <w:kern w:val="0"/>
          <w:sz w:val="34"/>
          <w:szCs w:val="34"/>
        </w:rPr>
        <w:t>第三节 空间布局规划</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39" w:name="_Toc22335"/>
      <w:r>
        <w:rPr>
          <w:rFonts w:hint="eastAsia" w:ascii="方正黑体简体" w:hAnsi="方正黑体简体" w:eastAsia="方正黑体简体" w:cs="方正黑体简体"/>
          <w:b w:val="0"/>
          <w:bCs/>
          <w:sz w:val="34"/>
          <w:szCs w:val="34"/>
        </w:rPr>
        <w:t>一、黄河岸边生态景观带</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color w:val="FF0000"/>
          <w:sz w:val="34"/>
          <w:szCs w:val="34"/>
        </w:rPr>
      </w:pPr>
      <w:r>
        <w:rPr>
          <w:rFonts w:hint="eastAsia" w:ascii="方正仿宋简体" w:hAnsi="方正仿宋简体" w:eastAsia="方正仿宋简体" w:cs="方正仿宋简体"/>
          <w:b/>
          <w:bCs/>
          <w:sz w:val="34"/>
          <w:szCs w:val="34"/>
        </w:rPr>
        <w:t>位置范围：</w:t>
      </w:r>
      <w:r>
        <w:rPr>
          <w:rFonts w:hint="eastAsia" w:ascii="方正仿宋简体" w:hAnsi="方正仿宋简体" w:eastAsia="方正仿宋简体" w:cs="方正仿宋简体"/>
          <w:sz w:val="34"/>
          <w:szCs w:val="34"/>
        </w:rPr>
        <w:t>叶盛镇、陈袁滩镇、大坝镇、青铜峡镇和峡口镇的黄河沿线区域。</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发展目标：</w:t>
      </w:r>
      <w:r>
        <w:rPr>
          <w:rFonts w:hint="eastAsia" w:ascii="方正仿宋简体" w:hAnsi="方正仿宋简体" w:eastAsia="方正仿宋简体" w:cs="方正仿宋简体"/>
          <w:sz w:val="34"/>
          <w:szCs w:val="34"/>
        </w:rPr>
        <w:t>黄河大峡谷、黄河楼2个景区成功创建国家5A级景区，跻身进入国家级旅游度假区行列，建设黄河金岸文旅融合精品区。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功能定位：</w:t>
      </w:r>
      <w:r>
        <w:rPr>
          <w:rFonts w:hint="eastAsia" w:ascii="方正仿宋简体" w:hAnsi="方正仿宋简体" w:eastAsia="方正仿宋简体" w:cs="方正仿宋简体"/>
          <w:sz w:val="34"/>
          <w:szCs w:val="34"/>
        </w:rPr>
        <w:t>山水观光、休闲度假、商贸休闲、文化体验、科普研学。</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发展思路：</w:t>
      </w:r>
      <w:r>
        <w:rPr>
          <w:rFonts w:hint="eastAsia" w:ascii="方正仿宋简体" w:hAnsi="方正仿宋简体" w:eastAsia="方正仿宋简体" w:cs="方正仿宋简体"/>
          <w:sz w:val="34"/>
          <w:szCs w:val="34"/>
        </w:rPr>
        <w:t>将滨河大道沿线优质资源串珠连线，实施夜游黄河楼工程，以“黄河明月夜”为特色品牌，打造一场集“大河文明（黄河）、塞上风光（青铜峡）、沉浸娱乐”于一体的综合性夜间水陆两栖行浸式（行走+沉浸）夜游光影秀，再现黄河五千年的灿烂文明，为黄河楼景区量身定制一张崭新的夜游文化名片。提档升级，丰富古镇商业服务经营业态，把青铜古镇打造成为富有特色的假日经济集聚区，创建成为自治区级旅游度假区。建设青铜峡黄河金岸旅游综合服务集聚区，形成以黄河楼景区为中心，集聚周边黄河文化园、黄河奥体中心、欧蓓莎综合商业区、黄河外滩综合商业区、黄土地文化旅游度假村等旅游、文化、住宿餐饮、综合商贸、休闲度假、养生养老多元经营业态，培育黄河西岸商旅文娱复合型夜间消费空间。</w:t>
      </w:r>
    </w:p>
    <w:tbl>
      <w:tblPr>
        <w:tblStyle w:val="1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vAlign w:val="center"/>
          </w:tcPr>
          <w:p>
            <w:pPr>
              <w:spacing w:line="300" w:lineRule="auto"/>
              <w:jc w:val="center"/>
              <w:rPr>
                <w:rFonts w:ascii="Times New Roman" w:hAnsi="Times New Roman" w:eastAsia="仿宋"/>
                <w:b/>
                <w:kern w:val="0"/>
                <w:sz w:val="24"/>
                <w:szCs w:val="24"/>
              </w:rPr>
            </w:pPr>
            <w:r>
              <w:rPr>
                <w:rFonts w:ascii="Times New Roman" w:hAnsi="Times New Roman" w:eastAsia="仿宋"/>
                <w:b/>
                <w:kern w:val="0"/>
                <w:sz w:val="28"/>
                <w:szCs w:val="28"/>
              </w:rPr>
              <w:t>专栏1：黄河岸边生态景观带重点建设项目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22" w:type="dxa"/>
            <w:vAlign w:val="top"/>
          </w:tcPr>
          <w:p>
            <w:pPr>
              <w:keepNext w:val="0"/>
              <w:keepLines w:val="0"/>
              <w:pageBreakBefore w:val="0"/>
              <w:widowControl w:val="0"/>
              <w:kinsoku/>
              <w:wordWrap/>
              <w:overflowPunct/>
              <w:topLinePunct w:val="0"/>
              <w:autoSpaceDE/>
              <w:autoSpaceDN/>
              <w:bidi w:val="0"/>
              <w:adjustRightInd/>
              <w:snapToGrid/>
              <w:spacing w:before="313" w:beforeLines="100"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1.青铜峡市黄河流域旅游景区黄河生态保护治理项目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实施黄河河道湿地恢复工程，拆除108塔景区、大禹文化园景区、凤凰岛景区、黄河生态园等</w:t>
            </w:r>
            <w:r>
              <w:rPr>
                <w:rFonts w:hint="eastAsia" w:ascii="Times New Roman" w:hAnsi="Times New Roman" w:eastAsia="仿宋"/>
                <w:sz w:val="24"/>
                <w:szCs w:val="24"/>
                <w:lang w:eastAsia="zh-CN"/>
              </w:rPr>
              <w:t>部分违章</w:t>
            </w:r>
            <w:r>
              <w:rPr>
                <w:rFonts w:ascii="Times New Roman" w:hAnsi="Times New Roman" w:eastAsia="仿宋"/>
                <w:sz w:val="24"/>
                <w:szCs w:val="24"/>
              </w:rPr>
              <w:t>建/构筑物，恢复黄河河道滞洪区和黄河湿地，清理整治恢复黄河河道、湿地面积50万平方米。</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ascii="Times New Roman" w:hAnsi="Times New Roman" w:eastAsia="仿宋" w:cs="Times New Roman"/>
                <w:b/>
                <w:sz w:val="24"/>
                <w:szCs w:val="24"/>
              </w:rPr>
              <w:t>2.黄河大峡谷旅游区创建国家5A级景区改造提升项目</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sz w:val="24"/>
                <w:szCs w:val="24"/>
              </w:rPr>
            </w:pPr>
            <w:r>
              <w:rPr>
                <w:rFonts w:ascii="Times New Roman" w:hAnsi="Times New Roman" w:eastAsia="仿宋"/>
                <w:b/>
                <w:bCs/>
                <w:sz w:val="24"/>
                <w:szCs w:val="24"/>
              </w:rPr>
              <w:t>实施黄河大峡谷通航里程拓展工程</w:t>
            </w:r>
            <w:r>
              <w:rPr>
                <w:rFonts w:ascii="Times New Roman" w:hAnsi="Times New Roman" w:eastAsia="仿宋"/>
                <w:sz w:val="24"/>
                <w:szCs w:val="24"/>
              </w:rPr>
              <w:t>：完善码头、道路、休憩区域、旅游厕所等基础设施，建成国内B级标准航区；</w:t>
            </w:r>
            <w:r>
              <w:rPr>
                <w:rFonts w:ascii="Times New Roman" w:hAnsi="Times New Roman" w:eastAsia="仿宋"/>
                <w:b/>
                <w:bCs/>
                <w:sz w:val="24"/>
                <w:szCs w:val="24"/>
              </w:rPr>
              <w:t>实施旅游区公共服务设施提升工程</w:t>
            </w:r>
            <w:r>
              <w:rPr>
                <w:rFonts w:ascii="Times New Roman" w:hAnsi="Times New Roman" w:eastAsia="仿宋"/>
                <w:sz w:val="24"/>
                <w:szCs w:val="24"/>
              </w:rPr>
              <w:t>：提升旅游厕所、游客中心、道路、游步道、咨询服务点、商品中心等设施服务功能，完善提升景区观景游步道、入口广场休憩廊道、游客中心观景天桥和大禹文化园无障碍设施，建设智慧景区、统一标识系统等内容，全面提升旅游区游客接待服务水平；</w:t>
            </w:r>
            <w:r>
              <w:rPr>
                <w:rFonts w:ascii="Times New Roman" w:hAnsi="Times New Roman" w:eastAsia="仿宋"/>
                <w:b/>
                <w:bCs/>
                <w:sz w:val="24"/>
                <w:szCs w:val="24"/>
              </w:rPr>
              <w:t>实施旅游区亲子旅游目的地建设工程</w:t>
            </w:r>
            <w:r>
              <w:rPr>
                <w:rFonts w:ascii="Times New Roman" w:hAnsi="Times New Roman" w:eastAsia="仿宋"/>
                <w:sz w:val="24"/>
                <w:szCs w:val="24"/>
              </w:rPr>
              <w:t>：打造无动力亲子科普教育基地，实现景区亲子旅游目的地升级、氛围营造与深度体验；</w:t>
            </w:r>
            <w:r>
              <w:rPr>
                <w:rFonts w:ascii="Times New Roman" w:hAnsi="Times New Roman" w:eastAsia="仿宋"/>
                <w:b/>
                <w:bCs/>
                <w:sz w:val="24"/>
                <w:szCs w:val="24"/>
              </w:rPr>
              <w:t>实施智慧化景区建设工程：</w:t>
            </w:r>
            <w:r>
              <w:rPr>
                <w:rFonts w:ascii="Times New Roman" w:hAnsi="Times New Roman" w:eastAsia="仿宋"/>
                <w:sz w:val="24"/>
                <w:szCs w:val="24"/>
              </w:rPr>
              <w:t>完善升级大数据系统和船舶调度系统，优先构建5G旅游区全覆盖，实现智慧服务、智慧管理、智慧营销。</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ascii="Times New Roman" w:hAnsi="Times New Roman" w:eastAsia="仿宋" w:cs="Times New Roman"/>
                <w:b/>
                <w:sz w:val="24"/>
                <w:szCs w:val="24"/>
              </w:rPr>
              <w:t>3.青铜峡夜游黄河大峡谷项目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对黄河大峡谷周边黄河公路桥、黄河铁桥、拦河大坝等进行亮化，对库区黄河行船河道两侧山体进行亮化、绿化，打造夜游黄河的旅游项目。</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4</w:t>
            </w:r>
            <w:r>
              <w:rPr>
                <w:rFonts w:ascii="Times New Roman" w:hAnsi="Times New Roman" w:eastAsia="仿宋" w:cs="Times New Roman"/>
                <w:b/>
                <w:sz w:val="24"/>
                <w:szCs w:val="24"/>
              </w:rPr>
              <w:t>.黄河坛景区提升改造项目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对黄河坛景区道路、绿化、主要建筑物等进行维修改造，增加旅游标识标牌、旅游厕所等旅游服务设施。</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5</w:t>
            </w:r>
            <w:r>
              <w:rPr>
                <w:rFonts w:ascii="Times New Roman" w:hAnsi="Times New Roman" w:eastAsia="仿宋" w:cs="Times New Roman"/>
                <w:b/>
                <w:sz w:val="24"/>
                <w:szCs w:val="24"/>
              </w:rPr>
              <w:t>.青铜峡黄河西岸全域旅游亮化工程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对青铜峡市黄河楼周边及奥体中心周边城市建筑、滨河大道、黄河路、古峡街、汉坝街、利民街等道路进行美化亮化。</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6</w:t>
            </w:r>
            <w:r>
              <w:rPr>
                <w:rFonts w:ascii="Times New Roman" w:hAnsi="Times New Roman" w:eastAsia="仿宋" w:cs="Times New Roman"/>
                <w:b/>
                <w:sz w:val="24"/>
                <w:szCs w:val="24"/>
              </w:rPr>
              <w:t>.青铜峡黄河金岸旅游休闲综合服务接待中心</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sz w:val="24"/>
                <w:szCs w:val="24"/>
              </w:rPr>
            </w:pPr>
            <w:r>
              <w:rPr>
                <w:rFonts w:ascii="Times New Roman" w:hAnsi="Times New Roman" w:eastAsia="仿宋"/>
                <w:b/>
                <w:bCs/>
                <w:sz w:val="24"/>
                <w:szCs w:val="24"/>
              </w:rPr>
              <w:t>实施旅游休闲接待服务能力提升工程：</w:t>
            </w:r>
            <w:r>
              <w:rPr>
                <w:rFonts w:ascii="Times New Roman" w:hAnsi="Times New Roman" w:eastAsia="仿宋"/>
                <w:sz w:val="24"/>
                <w:szCs w:val="24"/>
              </w:rPr>
              <w:t>满足游客休憩、问询、导游、消费需求以及其他保障服务需求，提升游客旅游接待能力；</w:t>
            </w:r>
            <w:r>
              <w:rPr>
                <w:rFonts w:ascii="Times New Roman" w:hAnsi="Times New Roman" w:eastAsia="仿宋"/>
                <w:b/>
                <w:bCs/>
                <w:sz w:val="24"/>
                <w:szCs w:val="24"/>
              </w:rPr>
              <w:t>实施冬季旅游要素配套提升工程：</w:t>
            </w:r>
            <w:r>
              <w:rPr>
                <w:rFonts w:ascii="Times New Roman" w:hAnsi="Times New Roman" w:eastAsia="仿宋"/>
                <w:sz w:val="24"/>
                <w:szCs w:val="24"/>
              </w:rPr>
              <w:t>围绕冰雪文旅、冰雪景观、冰雪竞技、冰雪运动等主题板块，打造恢宏、时尚、舒适、便捷的都市冰雪综合体验基地，刺激冬季旅游消费；</w:t>
            </w:r>
            <w:r>
              <w:rPr>
                <w:rFonts w:ascii="Times New Roman" w:hAnsi="Times New Roman" w:eastAsia="仿宋"/>
                <w:b/>
                <w:bCs/>
                <w:sz w:val="24"/>
                <w:szCs w:val="24"/>
              </w:rPr>
              <w:t>实施特色商贸小吃一条街建设工程：</w:t>
            </w:r>
            <w:r>
              <w:rPr>
                <w:rFonts w:ascii="Times New Roman" w:hAnsi="Times New Roman" w:eastAsia="仿宋"/>
                <w:sz w:val="24"/>
                <w:szCs w:val="24"/>
              </w:rPr>
              <w:t>满足游客购物消费需求、娱乐消费需求、餐饮消费需求、游览观光需求、民俗表演需求等。</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7</w:t>
            </w:r>
            <w:r>
              <w:rPr>
                <w:rFonts w:ascii="Times New Roman" w:hAnsi="Times New Roman" w:eastAsia="仿宋" w:cs="Times New Roman"/>
                <w:b/>
                <w:sz w:val="24"/>
                <w:szCs w:val="24"/>
              </w:rPr>
              <w:t>.108塔本体修缮及消防工程项目</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sz w:val="24"/>
                <w:szCs w:val="24"/>
              </w:rPr>
            </w:pPr>
            <w:r>
              <w:rPr>
                <w:rFonts w:ascii="Times New Roman" w:hAnsi="Times New Roman" w:eastAsia="仿宋"/>
                <w:b/>
                <w:bCs/>
                <w:sz w:val="24"/>
                <w:szCs w:val="24"/>
              </w:rPr>
              <w:t>实施108塔本体修缮工程：</w:t>
            </w:r>
            <w:r>
              <w:rPr>
                <w:rFonts w:ascii="Times New Roman" w:hAnsi="Times New Roman" w:eastAsia="仿宋"/>
                <w:sz w:val="24"/>
                <w:szCs w:val="24"/>
              </w:rPr>
              <w:t>维护塔基、塔身、塔刹以及挡土墙，改造地面排水，防止下渗；</w:t>
            </w:r>
            <w:r>
              <w:rPr>
                <w:rFonts w:ascii="Times New Roman" w:hAnsi="Times New Roman" w:eastAsia="仿宋"/>
                <w:b/>
                <w:bCs/>
                <w:sz w:val="24"/>
                <w:szCs w:val="24"/>
              </w:rPr>
              <w:t>实施消防系统建设工程：</w:t>
            </w:r>
            <w:r>
              <w:rPr>
                <w:rFonts w:ascii="Times New Roman" w:hAnsi="Times New Roman" w:eastAsia="仿宋"/>
                <w:sz w:val="24"/>
                <w:szCs w:val="24"/>
              </w:rPr>
              <w:t>根据108塔文物建筑的地理位置、结构形式，增配消防灭火设施，设置消防电话和消防广播，新建消防给水灭火系统（消防水池、泵房），新建环状消防给水管网及供配电系统，设置电气火灾监控系统。</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8</w:t>
            </w:r>
            <w:r>
              <w:rPr>
                <w:rFonts w:ascii="Times New Roman" w:hAnsi="Times New Roman" w:eastAsia="仿宋" w:cs="Times New Roman"/>
                <w:b/>
                <w:sz w:val="24"/>
                <w:szCs w:val="24"/>
              </w:rPr>
              <w:t>.青铜峡镇房车露营基地</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建设能够提供100车位的房车停车场，配套绿化、给排水、供电等服务设施，建设充电桩、休憩驿站、旅游厕所等附属设施。</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cs="Times New Roman"/>
                <w:b/>
                <w:sz w:val="24"/>
                <w:szCs w:val="24"/>
              </w:rPr>
            </w:pPr>
            <w:r>
              <w:rPr>
                <w:rFonts w:hint="eastAsia" w:ascii="Times New Roman" w:hAnsi="Times New Roman" w:eastAsia="仿宋" w:cs="Times New Roman"/>
                <w:b/>
                <w:sz w:val="24"/>
                <w:szCs w:val="24"/>
                <w:lang w:val="en-US" w:eastAsia="zh-CN"/>
              </w:rPr>
              <w:t>9</w:t>
            </w:r>
            <w:r>
              <w:rPr>
                <w:rFonts w:ascii="Times New Roman" w:hAnsi="Times New Roman" w:eastAsia="仿宋" w:cs="Times New Roman"/>
                <w:b/>
                <w:sz w:val="24"/>
                <w:szCs w:val="24"/>
              </w:rPr>
              <w:t>.青铜峡市黄河流域非物质文化展示中心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建设黄河流域非遗展示中心（非物质文化遗产展示馆、文创中心、戏剧传承中心、黄河大剧院），建设集观赏、体验、销售、理论研究等一体化发展格局，推动青铜峡市非遗事业发展。</w:t>
            </w:r>
          </w:p>
        </w:tc>
      </w:tr>
    </w:tbl>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40" w:name="_Toc13397"/>
      <w:r>
        <w:rPr>
          <w:rFonts w:hint="eastAsia" w:ascii="方正黑体简体" w:hAnsi="方正黑体简体" w:eastAsia="方正黑体简体" w:cs="方正黑体简体"/>
          <w:b w:val="0"/>
          <w:bCs/>
          <w:sz w:val="34"/>
          <w:szCs w:val="34"/>
        </w:rPr>
        <w:t>二、牛首山工业旅游带</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b/>
          <w:bCs/>
          <w:sz w:val="34"/>
          <w:szCs w:val="34"/>
        </w:rPr>
        <w:t>位置范围：</w:t>
      </w:r>
      <w:r>
        <w:rPr>
          <w:rFonts w:hint="eastAsia" w:ascii="方正仿宋简体" w:hAnsi="方正仿宋简体" w:eastAsia="方正仿宋简体" w:cs="方正仿宋简体"/>
          <w:sz w:val="34"/>
          <w:szCs w:val="34"/>
        </w:rPr>
        <w:t>青铜峡抽水蓄能电站工程区以及牛首山景区</w:t>
      </w:r>
      <w:r>
        <w:rPr>
          <w:rFonts w:hint="eastAsia" w:ascii="方正仿宋简体" w:hAnsi="方正仿宋简体" w:eastAsia="方正仿宋简体" w:cs="方正仿宋简体"/>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发展目标：</w:t>
      </w:r>
      <w:r>
        <w:rPr>
          <w:rFonts w:hint="eastAsia" w:ascii="方正仿宋简体" w:hAnsi="方正仿宋简体" w:eastAsia="方正仿宋简体" w:cs="方正仿宋简体"/>
          <w:sz w:val="34"/>
          <w:szCs w:val="34"/>
        </w:rPr>
        <w:t>形成以黄河水电、水利枢纽、抽水蓄能为主题的工业旅游品牌，创建全国工业旅游示范点。</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b/>
          <w:bCs/>
          <w:sz w:val="34"/>
          <w:szCs w:val="34"/>
        </w:rPr>
        <w:t>功能定位：</w:t>
      </w:r>
      <w:r>
        <w:rPr>
          <w:rFonts w:hint="eastAsia" w:ascii="方正仿宋简体" w:hAnsi="方正仿宋简体" w:eastAsia="方正仿宋简体" w:cs="方正仿宋简体"/>
          <w:sz w:val="34"/>
          <w:szCs w:val="34"/>
        </w:rPr>
        <w:t>工业旅游、休闲度假、科普研学、户外运动</w:t>
      </w:r>
      <w:r>
        <w:rPr>
          <w:rFonts w:hint="eastAsia" w:ascii="方正仿宋简体" w:hAnsi="方正仿宋简体" w:eastAsia="方正仿宋简体" w:cs="方正仿宋简体"/>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发展思路：</w:t>
      </w:r>
      <w:r>
        <w:rPr>
          <w:rFonts w:hint="eastAsia" w:ascii="方正仿宋简体" w:hAnsi="方正仿宋简体" w:eastAsia="方正仿宋简体" w:cs="方正仿宋简体"/>
          <w:sz w:val="34"/>
          <w:szCs w:val="34"/>
        </w:rPr>
        <w:t>重点以青铜峡抽水蓄能电站项目为核心，依托牛首山独特的高山地形，借助库区鸟岛、大美黄河等优质旅游资源，整体布局、一体打造。通过完善旅游基础设施，优化交通布局，丰富旅游业态，结合现代科技手段和景观设计手法，突破“静态参观”层次，强化工业旅游参与性、体验性、趣味性，策划电力科技长廊、百米高空蹦极、天籁星空观测、天苑房车营地、冬日激情滑雪等特色旅游项目，形成黄河水电奇观、塞北江南天池、牛首寻幽探秘为一体的工业旅游新业态，构建与黄河岸边生态景观带互联互通、联动发展、各具特色的工业旅游新格局。</w:t>
      </w:r>
    </w:p>
    <w:tbl>
      <w:tblPr>
        <w:tblStyle w:val="1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vAlign w:val="center"/>
          </w:tcPr>
          <w:p>
            <w:pPr>
              <w:spacing w:line="300" w:lineRule="auto"/>
              <w:jc w:val="center"/>
              <w:rPr>
                <w:rFonts w:ascii="Times New Roman" w:hAnsi="Times New Roman" w:eastAsia="仿宋"/>
                <w:b/>
                <w:kern w:val="0"/>
                <w:sz w:val="24"/>
                <w:szCs w:val="24"/>
              </w:rPr>
            </w:pPr>
            <w:r>
              <w:rPr>
                <w:rFonts w:ascii="Times New Roman" w:hAnsi="Times New Roman" w:eastAsia="仿宋"/>
                <w:b/>
                <w:kern w:val="0"/>
                <w:sz w:val="28"/>
                <w:szCs w:val="28"/>
              </w:rPr>
              <w:t>专栏2：牛首山工业旅游带重点建设项目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22" w:type="dxa"/>
            <w:vAlign w:val="top"/>
          </w:tcPr>
          <w:p>
            <w:pPr>
              <w:keepNext w:val="0"/>
              <w:keepLines w:val="0"/>
              <w:pageBreakBefore w:val="0"/>
              <w:widowControl w:val="0"/>
              <w:kinsoku/>
              <w:wordWrap/>
              <w:overflowPunct/>
              <w:topLinePunct w:val="0"/>
              <w:autoSpaceDE/>
              <w:autoSpaceDN/>
              <w:bidi w:val="0"/>
              <w:adjustRightInd/>
              <w:snapToGrid/>
              <w:spacing w:before="313" w:beforeLines="100" w:line="312" w:lineRule="auto"/>
              <w:ind w:firstLine="482" w:firstLineChars="200"/>
              <w:textAlignment w:val="auto"/>
              <w:rPr>
                <w:rFonts w:hint="eastAsia" w:ascii="Times New Roman" w:hAnsi="Times New Roman" w:eastAsia="仿宋"/>
                <w:b/>
                <w:sz w:val="24"/>
                <w:szCs w:val="24"/>
                <w:lang w:eastAsia="zh-CN"/>
              </w:rPr>
            </w:pPr>
            <w:r>
              <w:rPr>
                <w:rFonts w:ascii="Times New Roman" w:hAnsi="Times New Roman" w:eastAsia="仿宋"/>
                <w:b/>
                <w:sz w:val="24"/>
                <w:szCs w:val="24"/>
              </w:rPr>
              <w:t>1.青铜峡鸟岛自然保护区湿地保护项目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建设消防通行桥、景观桥及补水通道30公里，涉及补水区域2000公顷，提水闸10座，灌水口300处，人工鸟岛15处。自然植被更新200h㎡，种植水生植物60h㎡，造林100h㎡，改造鸟巢2000个，鸟类投食点50处。修建亲水栈道5公里，观鸟亭5处。建设人工湿地植物园一处，配套建设游船码头、亲水栈道、电瓶车道、观鸟平台、中心湖湖心岛廊亭、浮动码头、浮动观景广场等。</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2.牛首山旅游开发基础设施</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规划建设道路、给排水、电力等基础设施，配套游客接待服务中心、旅游厕所、停车场等基础设施。</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3.牛首山健步登山步道</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Times New Roman" w:hAnsi="Times New Roman" w:eastAsia="仿宋"/>
                <w:sz w:val="24"/>
                <w:szCs w:val="24"/>
                <w:lang w:eastAsia="zh-CN"/>
              </w:rPr>
            </w:pPr>
            <w:r>
              <w:rPr>
                <w:rFonts w:ascii="Times New Roman" w:hAnsi="Times New Roman" w:eastAsia="仿宋"/>
                <w:sz w:val="24"/>
                <w:szCs w:val="24"/>
              </w:rPr>
              <w:t>建设登山步道，配套厕所、休憩驿站等配套设施</w:t>
            </w:r>
            <w:r>
              <w:rPr>
                <w:rFonts w:hint="eastAsia" w:ascii="Times New Roman" w:hAnsi="Times New Roman" w:eastAsia="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hint="eastAsia" w:ascii="Times New Roman" w:hAnsi="Times New Roman" w:eastAsia="仿宋"/>
                <w:b/>
                <w:sz w:val="24"/>
                <w:szCs w:val="24"/>
                <w:lang w:val="en-US" w:eastAsia="zh-CN"/>
              </w:rPr>
              <w:t>4</w:t>
            </w:r>
            <w:r>
              <w:rPr>
                <w:rFonts w:ascii="Times New Roman" w:hAnsi="Times New Roman" w:eastAsia="仿宋"/>
                <w:b/>
                <w:sz w:val="24"/>
                <w:szCs w:val="24"/>
              </w:rPr>
              <w:t>.牛首山山地摩托车、汽车越野基地</w:t>
            </w:r>
          </w:p>
          <w:p>
            <w:pPr>
              <w:keepNext w:val="0"/>
              <w:keepLines w:val="0"/>
              <w:pageBreakBefore w:val="0"/>
              <w:widowControl w:val="0"/>
              <w:kinsoku/>
              <w:wordWrap/>
              <w:overflowPunct/>
              <w:topLinePunct w:val="0"/>
              <w:autoSpaceDE/>
              <w:autoSpaceDN/>
              <w:bidi w:val="0"/>
              <w:adjustRightInd/>
              <w:snapToGrid/>
              <w:spacing w:after="313" w:afterLines="100"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建设山地摩托车、汽车越野赛道，配套人员休息、管理、车辆维修、急救等服务设施。</w:t>
            </w:r>
          </w:p>
        </w:tc>
      </w:tr>
    </w:tbl>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41" w:name="_Toc11029"/>
      <w:r>
        <w:rPr>
          <w:rFonts w:hint="eastAsia" w:ascii="方正黑体简体" w:hAnsi="方正黑体简体" w:eastAsia="方正黑体简体" w:cs="方正黑体简体"/>
          <w:b w:val="0"/>
          <w:bCs/>
          <w:sz w:val="34"/>
          <w:szCs w:val="34"/>
        </w:rPr>
        <w:t>三、稻花香里休闲观光带</w:t>
      </w:r>
      <w:bookmarkEnd w:id="41"/>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位置范围：</w:t>
      </w:r>
      <w:r>
        <w:rPr>
          <w:rFonts w:hint="eastAsia" w:ascii="方正仿宋简体" w:hAnsi="方正仿宋简体" w:eastAsia="方正仿宋简体" w:cs="方正仿宋简体"/>
          <w:sz w:val="34"/>
          <w:szCs w:val="34"/>
        </w:rPr>
        <w:t>主要包括叶盛镇地三村、小坝镇先锋村、大坝镇韦桥村、瞿靖镇毛桥村和邵岗镇沙湖村。</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b/>
          <w:bCs/>
          <w:sz w:val="34"/>
          <w:szCs w:val="34"/>
        </w:rPr>
      </w:pPr>
      <w:r>
        <w:rPr>
          <w:rFonts w:hint="eastAsia" w:ascii="方正仿宋简体" w:hAnsi="方正仿宋简体" w:eastAsia="方正仿宋简体" w:cs="方正仿宋简体"/>
          <w:b/>
          <w:bCs/>
          <w:sz w:val="34"/>
          <w:szCs w:val="34"/>
        </w:rPr>
        <w:t>发展目标：</w:t>
      </w:r>
      <w:r>
        <w:rPr>
          <w:rFonts w:hint="eastAsia" w:ascii="方正仿宋简体" w:hAnsi="方正仿宋简体" w:eastAsia="方正仿宋简体" w:cs="方正仿宋简体"/>
          <w:sz w:val="34"/>
          <w:szCs w:val="34"/>
        </w:rPr>
        <w:t>培育一批以农旅休闲、乡村旅游为主题的特色旅游村镇，完善提升康养、休闲、民宿、餐饮服务功能，打造农、文、旅、康融合发展的样板示范区。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功能定位：</w:t>
      </w:r>
      <w:r>
        <w:rPr>
          <w:rFonts w:hint="eastAsia" w:ascii="方正仿宋简体" w:hAnsi="方正仿宋简体" w:eastAsia="方正仿宋简体" w:cs="方正仿宋简体"/>
          <w:sz w:val="34"/>
          <w:szCs w:val="34"/>
        </w:rPr>
        <w:t>旅游观光、民俗体验、养生度假、农业休闲、科普研学。</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发展思路：</w:t>
      </w:r>
      <w:r>
        <w:rPr>
          <w:rFonts w:hint="eastAsia" w:ascii="方正仿宋简体" w:hAnsi="方正仿宋简体" w:eastAsia="方正仿宋简体" w:cs="方正仿宋简体"/>
          <w:sz w:val="34"/>
          <w:szCs w:val="34"/>
        </w:rPr>
        <w:t>依托大坝韦桥村、叶盛地三村等现有休闲观光资源，培育一批特色旅游村镇，布局一批体验型、参与型旅游项目，提升乡村旅游示范点、民宿档次，完善餐饮、康养等服务功能，打造“韦桥—中庄—小坝市区—先锋—龙门—地三”乡村旅游精品路线，推动“旅游+”创意农业、观光农业、体验农业加快发展，青铜峡进入“全国休闲农业和乡村旅游示范县”行列。借助宁夏引黄古灌区世界灌溉工程遗产的品牌影响力，通过基因梳理、文化铸魂、宜游化改造、新业态培育，将大坝韦桥建设成“世界灌溉工程遗产公园”。</w:t>
      </w:r>
    </w:p>
    <w:tbl>
      <w:tblPr>
        <w:tblStyle w:val="1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vAlign w:val="center"/>
          </w:tcPr>
          <w:p>
            <w:pPr>
              <w:spacing w:line="300" w:lineRule="auto"/>
              <w:jc w:val="center"/>
              <w:rPr>
                <w:rFonts w:ascii="Times New Roman" w:hAnsi="Times New Roman" w:eastAsia="仿宋"/>
                <w:b/>
                <w:kern w:val="0"/>
                <w:sz w:val="24"/>
                <w:szCs w:val="24"/>
              </w:rPr>
            </w:pPr>
            <w:r>
              <w:rPr>
                <w:rFonts w:ascii="Times New Roman" w:hAnsi="Times New Roman" w:eastAsia="仿宋"/>
                <w:b/>
                <w:kern w:val="0"/>
                <w:sz w:val="28"/>
                <w:szCs w:val="28"/>
              </w:rPr>
              <w:t>专栏3：稻花香里休闲观光带重点建设项目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22" w:type="dxa"/>
            <w:vAlign w:val="top"/>
          </w:tcPr>
          <w:p>
            <w:pPr>
              <w:keepNext w:val="0"/>
              <w:keepLines w:val="0"/>
              <w:pageBreakBefore w:val="0"/>
              <w:widowControl w:val="0"/>
              <w:kinsoku/>
              <w:wordWrap/>
              <w:overflowPunct/>
              <w:topLinePunct w:val="0"/>
              <w:autoSpaceDE/>
              <w:autoSpaceDN/>
              <w:bidi w:val="0"/>
              <w:adjustRightInd/>
              <w:snapToGrid/>
              <w:spacing w:before="313" w:beforeLines="100"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1.宁夏青铜峡市黄河国家文化公园古渠首重要遗产保护管理和配套基础设施项目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对现有109国道出入口、唐徕渠、大清渠、汉延渠</w:t>
            </w:r>
            <w:r>
              <w:rPr>
                <w:rFonts w:hint="eastAsia" w:ascii="Times New Roman" w:hAnsi="Times New Roman" w:eastAsia="仿宋"/>
                <w:color w:val="auto"/>
                <w:sz w:val="24"/>
                <w:szCs w:val="24"/>
              </w:rPr>
              <w:t>沿渠</w:t>
            </w:r>
            <w:r>
              <w:rPr>
                <w:rFonts w:ascii="Times New Roman" w:hAnsi="Times New Roman" w:eastAsia="仿宋"/>
                <w:sz w:val="24"/>
                <w:szCs w:val="24"/>
              </w:rPr>
              <w:t>道路及韦桥村乡村道路进行改造提升，新建旅游标识系统、游客管理服务中心、生态停车场、排水管网、污水处理设施、旅游厕所、垃圾转用站（含垃圾箱等环卫设施）等基础设施，对周边环境进行整治。</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2.宁夏引黄古灌区世界遗产公园建设项目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以宁夏引黄古灌区遗产要素为基础进行整合建设。遗产公园设定为核心区和辐射区两部分，核心区是公园重点区，成块状；辐射区串联外围遗产要素，丰富遗产公园内容，增加观赏性，与核心区成线形连接。</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3.叶盛镇地三村全国乡村旅游重点村建设项目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完善给排水、道路等基础设施，改造农宅，打造集吃、住、游、娱为一体的乡村旅游田园综合体。</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4.大坝韦桥美丽休闲乡村建设项目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完善给排水、道路等基础设施，改造农宅，打造集吃、住、游、娱为一体的乡村旅游田园综合体。</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5.青秀园景区基础设施提升改造项目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新建游客接待中心，对现有道路、旅游厕所、旅游标识标牌进行提升改造，提升牡丹园等绿化环境品质。</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6.小坝镇、陈袁滩镇、叶盛镇、大坝镇星级乡村旅游示范点建设项目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小坝镇清逸园、陈袁滩镇唐滩村和罗家小院、叶盛镇地三村和龙门村、大坝镇韦桥村建设星级乡村旅游示范点，完善基础设施，提升乡村旅游品质。</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p>
        </w:tc>
      </w:tr>
    </w:tbl>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42" w:name="_Toc10750"/>
      <w:r>
        <w:rPr>
          <w:rFonts w:hint="eastAsia" w:ascii="方正黑体简体" w:hAnsi="方正黑体简体" w:eastAsia="方正黑体简体" w:cs="方正黑体简体"/>
          <w:b w:val="0"/>
          <w:bCs/>
          <w:sz w:val="34"/>
          <w:szCs w:val="34"/>
        </w:rPr>
        <w:t>四、贺兰山下紫色文化长廊</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位置范围：</w:t>
      </w:r>
      <w:r>
        <w:rPr>
          <w:rFonts w:hint="eastAsia" w:ascii="方正仿宋简体" w:hAnsi="方正仿宋简体" w:eastAsia="方正仿宋简体" w:cs="方正仿宋简体"/>
          <w:sz w:val="34"/>
          <w:szCs w:val="34"/>
        </w:rPr>
        <w:t>贺兰山东麓葡萄长廊，</w:t>
      </w:r>
      <w:r>
        <w:rPr>
          <w:rFonts w:hint="eastAsia" w:ascii="方正仿宋简体" w:hAnsi="方正仿宋简体" w:eastAsia="方正仿宋简体" w:cs="方正仿宋简体"/>
          <w:color w:val="auto"/>
          <w:sz w:val="34"/>
          <w:szCs w:val="34"/>
        </w:rPr>
        <w:t>包括青铜峡西北部，邵岗镇西北部、青铜峡镇西南部广武地区。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b/>
          <w:bCs/>
          <w:sz w:val="34"/>
          <w:szCs w:val="34"/>
        </w:rPr>
      </w:pPr>
      <w:r>
        <w:rPr>
          <w:rFonts w:hint="eastAsia" w:ascii="方正仿宋简体" w:hAnsi="方正仿宋简体" w:eastAsia="方正仿宋简体" w:cs="方正仿宋简体"/>
          <w:b/>
          <w:bCs/>
          <w:sz w:val="34"/>
          <w:szCs w:val="34"/>
        </w:rPr>
        <w:t>发展目标：</w:t>
      </w:r>
      <w:r>
        <w:rPr>
          <w:rFonts w:hint="eastAsia" w:ascii="方正仿宋简体" w:hAnsi="方正仿宋简体" w:eastAsia="方正仿宋简体" w:cs="方正仿宋简体"/>
          <w:sz w:val="34"/>
          <w:szCs w:val="34"/>
        </w:rPr>
        <w:t>打造全国第一家以葡萄酒文化为主题，集康养、度假、休闲、游憩等功能于一体的旅游集散地，传播贺兰山东麓葡萄酒文化，发展成为中国最具特色的葡萄酒主题旅游宜居小镇。</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lang w:eastAsia="zh-CN"/>
        </w:rPr>
      </w:pPr>
      <w:r>
        <w:rPr>
          <w:rFonts w:hint="eastAsia" w:ascii="方正仿宋简体" w:hAnsi="方正仿宋简体" w:eastAsia="方正仿宋简体" w:cs="方正仿宋简体"/>
          <w:b/>
          <w:bCs/>
          <w:sz w:val="34"/>
          <w:szCs w:val="34"/>
        </w:rPr>
        <w:t>功能定位：</w:t>
      </w:r>
      <w:r>
        <w:rPr>
          <w:rFonts w:hint="eastAsia" w:ascii="方正仿宋简体" w:hAnsi="方正仿宋简体" w:eastAsia="方正仿宋简体" w:cs="方正仿宋简体"/>
          <w:sz w:val="34"/>
          <w:szCs w:val="34"/>
        </w:rPr>
        <w:t>康体娱乐、休闲度假、文化体验、户外运动、暗夜星空</w:t>
      </w:r>
      <w:r>
        <w:rPr>
          <w:rFonts w:hint="eastAsia" w:ascii="方正仿宋简体" w:hAnsi="方正仿宋简体" w:eastAsia="方正仿宋简体" w:cs="方正仿宋简体"/>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发展思路：</w:t>
      </w:r>
      <w:r>
        <w:rPr>
          <w:rFonts w:hint="eastAsia" w:ascii="方正仿宋简体" w:hAnsi="方正仿宋简体" w:eastAsia="方正仿宋简体" w:cs="方正仿宋简体"/>
          <w:sz w:val="34"/>
          <w:szCs w:val="34"/>
        </w:rPr>
        <w:t>重点发展葡萄酒+文化旅游，深挖鸽子山、古长城历史文化内涵，加快葡萄文化旅游小镇建设，支持龙头酒庄开发房车露营、沿山越野、自行车骑行和“葡萄园里看星空”等旅游项目，推动西鸽酒庄创建国家4A级景区，在做产品、做营销、做文化上推陈出新，推动葡萄酒旅游产业发展深度融合。旅游人数、综合收入年均增长20%以上，形成百亿级服务业文旅融合产业集群。</w:t>
      </w:r>
    </w:p>
    <w:tbl>
      <w:tblPr>
        <w:tblStyle w:val="1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vAlign w:val="center"/>
          </w:tcPr>
          <w:p>
            <w:pPr>
              <w:spacing w:line="300" w:lineRule="auto"/>
              <w:jc w:val="center"/>
              <w:rPr>
                <w:rFonts w:ascii="Times New Roman" w:hAnsi="Times New Roman" w:eastAsia="仿宋"/>
                <w:b/>
                <w:kern w:val="0"/>
                <w:sz w:val="24"/>
                <w:szCs w:val="24"/>
              </w:rPr>
            </w:pPr>
            <w:r>
              <w:rPr>
                <w:rFonts w:ascii="Times New Roman" w:hAnsi="Times New Roman" w:eastAsia="仿宋"/>
                <w:b/>
                <w:kern w:val="0"/>
                <w:sz w:val="24"/>
                <w:szCs w:val="24"/>
              </w:rPr>
              <w:t>专栏4：贺兰山下紫色文化长廊重点建设项目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22" w:type="dxa"/>
            <w:vAlign w:val="top"/>
          </w:tcPr>
          <w:p>
            <w:pPr>
              <w:keepNext w:val="0"/>
              <w:keepLines w:val="0"/>
              <w:pageBreakBefore w:val="0"/>
              <w:widowControl w:val="0"/>
              <w:kinsoku/>
              <w:wordWrap/>
              <w:overflowPunct/>
              <w:topLinePunct w:val="0"/>
              <w:autoSpaceDE/>
              <w:autoSpaceDN/>
              <w:bidi w:val="0"/>
              <w:adjustRightInd/>
              <w:snapToGrid/>
              <w:spacing w:before="313" w:beforeLines="100"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1.贺兰山东麓葡萄长廊酒庄旅游服务配套设施建设项目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在西鸽酒庄、禹皇酒庄、御马酒庄等建设游客接待中心，配套旅游标识标牌和旅游厕所，打造依托葡萄酒文化的旅游新业态。</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2.青铜峡市全域旅游服务及基础设施建设项目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配套旅游通景区公路（沿山公路至北岔口长城、鸽子山遗址、风力发电，109国道至广武岩画），建设旅游道路配套服务设施（旅游厕所、休憩驿站等）。</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3.青铜峡鸽子山葡萄文化旅游小镇项目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以AAAAA级景区、国家级旅游度假区为发展目标，结合贺兰山东麓葡萄酒产业带、鸽子山遗址、明长城遗迹、庙山湖等景点串联式打造AAAAA级景区；依托现有酒庄和规划待建酒庄，大力发展度假住宿产业集群，力争在五年内，建设成为“小镇+酒庄+乡村民宿”的模式，打造全国第一家以葡萄酒文化为主题的国家级旅游度假区——青铜峡贺兰山东麓葡萄酒文化旅游度假区。</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4.青铜峡庙山湖康养、禅修度假区项目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依托现有庙山湖寺庙群和庙山湖温泉，结合青铜峡贺兰山东麓葡萄酒产业带、鸽子山遗址、明长城遗址等的开发建设，规划建设庙山湖康养、禅修度假区项目，满足不同旅游群体的需求。</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5.鸽子山山地自行车、摩托车基地</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建设山地自行车、摩托车赛道，配套人员休息、管理、车辆维修、急救等服务设施。</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6.长城国家文化公园（宁夏段）青铜峡段保护性基础设施建设工程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修建长城保护围栏，北岔口长城巡护道路，配套旅游标识标牌等设施。</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7.长城国家文化公园（宁夏段）青铜峡柳木皋至双河子沟段房车露营及长城徒步园区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对长城青铜峡柳木皋至双河子沟段周边环境进行整治；沿长城建设休憩驿站（停车场）、旅游公厕、环卫设施、充电桩、绿化等基础设施等。</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8.长城国家文化公园（宁夏段）青铜峡段明长城文化展示园</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对柳木皋至井沟段长城遗址周边植被进行改造，种植绿化景观带，在核心区域，用草本植物进行恢复，突出长城遗址雄壮苍凉的景观特征；对长城遗址周边环境进行控制，以长城绿道为主线，以田园风光为背景，营造诗画田园的田园景观气氛；修建文化广场、生态停车场、观景台、眺望塔、凉亭、休息座椅、公共厕所等服务设施；建设国家文化公园数字云平台，对文物和文化资源进行数字化展示，对历史名人、诗歌等相关联信息进行实时展示。</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9.长城青铜峡香水泉沟段至双河子沟段游览道路设施</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修建长城旅游风景道，配套休憩驿站、宿营地等设施。</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ascii="Times New Roman" w:hAnsi="Times New Roman" w:eastAsia="仿宋"/>
                <w:b/>
                <w:sz w:val="24"/>
                <w:szCs w:val="24"/>
              </w:rPr>
            </w:pPr>
            <w:r>
              <w:rPr>
                <w:rFonts w:ascii="Times New Roman" w:hAnsi="Times New Roman" w:eastAsia="仿宋"/>
                <w:b/>
                <w:sz w:val="24"/>
                <w:szCs w:val="24"/>
              </w:rPr>
              <w:t>10.青铜峡市鸽子山遗址博物馆建设项目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r>
              <w:rPr>
                <w:rFonts w:ascii="Times New Roman" w:hAnsi="Times New Roman" w:eastAsia="仿宋"/>
                <w:sz w:val="24"/>
                <w:szCs w:val="24"/>
              </w:rPr>
              <w:t>建设鸽子山遗址博物馆，规划鸽子山遗址陈列展厅、石器石刻文物展厅、文物修复室、档案资料室、研究室、业务用房以及后勤保障用房等内容，并配套相关附属设施。</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eastAsia="仿宋"/>
                <w:sz w:val="24"/>
                <w:szCs w:val="24"/>
              </w:rPr>
            </w:pPr>
          </w:p>
        </w:tc>
      </w:tr>
    </w:tbl>
    <w:p>
      <w:pPr>
        <w:spacing w:line="360" w:lineRule="auto"/>
        <w:ind w:firstLine="640" w:firstLineChars="200"/>
        <w:rPr>
          <w:rFonts w:ascii="Times New Roman" w:hAnsi="Times New Roman" w:eastAsia="仿宋_GB2312"/>
          <w:sz w:val="32"/>
          <w:szCs w:val="32"/>
        </w:rPr>
        <w:sectPr>
          <w:pgSz w:w="11906" w:h="16838"/>
          <w:pgMar w:top="1440" w:right="1800" w:bottom="1440" w:left="1800" w:header="851" w:footer="992" w:gutter="0"/>
          <w:pgNumType w:fmt="numberInDash"/>
          <w:cols w:space="720" w:num="1"/>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snapToGrid/>
        <w:spacing w:before="156" w:beforeLines="50" w:after="156" w:afterLines="50" w:line="560" w:lineRule="exact"/>
        <w:jc w:val="center"/>
        <w:textAlignment w:val="auto"/>
        <w:outlineLvl w:val="0"/>
        <w:rPr>
          <w:rFonts w:ascii="Times New Roman" w:hAnsi="Times New Roman" w:eastAsia="黑体" w:cs="Times New Roman"/>
          <w:b/>
          <w:kern w:val="0"/>
          <w:sz w:val="36"/>
          <w:szCs w:val="36"/>
        </w:rPr>
      </w:pPr>
      <w:bookmarkStart w:id="43" w:name="_Toc7217"/>
      <w:r>
        <w:rPr>
          <w:rFonts w:ascii="Times New Roman" w:hAnsi="Times New Roman" w:eastAsia="黑体" w:cs="Times New Roman"/>
          <w:b/>
          <w:kern w:val="0"/>
          <w:sz w:val="36"/>
          <w:szCs w:val="36"/>
        </w:rPr>
        <w:t>第四章 创新提升，推进旅游高质量发展新任务</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color w:val="auto"/>
          <w:sz w:val="34"/>
          <w:szCs w:val="34"/>
        </w:rPr>
        <w:t>根据青铜峡市资源禀赋</w:t>
      </w:r>
      <w:r>
        <w:rPr>
          <w:rFonts w:hint="eastAsia" w:ascii="方正仿宋简体" w:hAnsi="方正仿宋简体" w:eastAsia="方正仿宋简体" w:cs="方正仿宋简体"/>
          <w:sz w:val="34"/>
          <w:szCs w:val="34"/>
        </w:rPr>
        <w:t>、发展趋势和当前开发条件，契合当前旅游消费新热点新趋势，通过巩固提升旅游融合发展新业态、加快推进三大特色品牌建设新计划、培育拓展“青铜峡之夜”旅游新IP、着力构建“全维配套”旅游服务新体系、科技赋能驱动文旅业态新变革、IP引领形成旅游品牌宣传新力度等六个方面形成合力，助力旅游产业高质量发展。</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kern w:val="0"/>
          <w:sz w:val="32"/>
          <w:szCs w:val="32"/>
        </w:rPr>
      </w:pPr>
      <w:bookmarkStart w:id="44" w:name="_Toc28544"/>
      <w:r>
        <w:rPr>
          <w:rFonts w:hint="eastAsia" w:ascii="黑体" w:hAnsi="黑体" w:eastAsia="黑体" w:cs="黑体"/>
          <w:b w:val="0"/>
          <w:bCs/>
          <w:kern w:val="0"/>
          <w:sz w:val="34"/>
          <w:szCs w:val="34"/>
        </w:rPr>
        <w:t>第一节 巩固提升旅游融合发展新业态</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45" w:name="_Toc29569"/>
      <w:bookmarkStart w:id="46" w:name="_Toc21456"/>
      <w:r>
        <w:rPr>
          <w:rFonts w:hint="eastAsia" w:ascii="方正黑体简体" w:hAnsi="方正黑体简体" w:eastAsia="方正黑体简体" w:cs="方正黑体简体"/>
          <w:b w:val="0"/>
          <w:bCs/>
          <w:sz w:val="34"/>
          <w:szCs w:val="34"/>
        </w:rPr>
        <w:t>一、旅游+</w:t>
      </w:r>
      <w:r>
        <w:rPr>
          <w:rFonts w:hint="eastAsia" w:ascii="方正黑体简体" w:hAnsi="方正黑体简体" w:eastAsia="方正黑体简体" w:cs="方正黑体简体"/>
          <w:b w:val="0"/>
          <w:bCs/>
          <w:sz w:val="34"/>
          <w:szCs w:val="34"/>
          <w:lang w:val="en-US" w:eastAsia="zh-CN"/>
        </w:rPr>
        <w:t>农业</w:t>
      </w:r>
      <w:r>
        <w:rPr>
          <w:rFonts w:hint="eastAsia" w:ascii="方正黑体简体" w:hAnsi="方正黑体简体" w:eastAsia="方正黑体简体" w:cs="方正黑体简体"/>
          <w:b w:val="0"/>
          <w:bCs/>
          <w:sz w:val="34"/>
          <w:szCs w:val="34"/>
        </w:rPr>
        <w:t>：乡村休闲旅游产品</w:t>
      </w:r>
      <w:bookmarkEnd w:id="45"/>
      <w:bookmarkEnd w:id="46"/>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依托区域内万亩稻田、贺兰山东麓葡萄长廊、设施农业等农业资源优势，发展和引导旅游创意农业、休闲农业等新型业态，打造兼具观光、休闲度假、康体养生等功能为一体的乡村休闲旅游产品。形成五大乡村旅游主题：农耕体验、科普研学、艺术娱乐、生态休闲、红酒文化；四大乡村旅游精品工程：葡萄酒庄精品工程、美丽村庄精品工程、示范农业精品工程、康养休闲精品工程；三条乡村旅游精品路线：黄河岸边文化探索游、稻花香里乡村休闲游、贺兰山下酒庄体验游。</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47" w:name="_Toc26679"/>
      <w:bookmarkStart w:id="48" w:name="_Toc14423"/>
      <w:r>
        <w:rPr>
          <w:rFonts w:hint="eastAsia" w:ascii="方正黑体简体" w:hAnsi="方正黑体简体" w:eastAsia="方正黑体简体" w:cs="方正黑体简体"/>
          <w:b w:val="0"/>
          <w:bCs/>
          <w:sz w:val="34"/>
          <w:szCs w:val="34"/>
        </w:rPr>
        <w:t>二、旅游+文化：文化体验旅游产品</w:t>
      </w:r>
      <w:bookmarkEnd w:id="47"/>
      <w:bookmarkEnd w:id="48"/>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充分挖掘青铜峡市黄河文化、大禹文化、农耕文化等特色元素，以文化创意为突破口，实现旅游与文化产业的深度融合，以文化带旅游、以旅游促文化。依托黄河</w:t>
      </w:r>
      <w:r>
        <w:rPr>
          <w:rFonts w:hint="eastAsia" w:ascii="方正仿宋简体" w:hAnsi="方正仿宋简体" w:eastAsia="方正仿宋简体" w:cs="方正仿宋简体"/>
          <w:sz w:val="34"/>
          <w:szCs w:val="34"/>
          <w:lang w:eastAsia="zh-CN"/>
        </w:rPr>
        <w:t>奥</w:t>
      </w:r>
      <w:r>
        <w:rPr>
          <w:rFonts w:hint="eastAsia" w:ascii="方正仿宋简体" w:hAnsi="方正仿宋简体" w:eastAsia="方正仿宋简体" w:cs="方正仿宋简体"/>
          <w:sz w:val="34"/>
          <w:szCs w:val="34"/>
        </w:rPr>
        <w:t>体中心，组织开展大型演唱会、重大体育赛事和国内外知名会展，推进文化旅游体育深度融合；积极主动与沿黄城市联合举办黄河文化高峰论坛，搭建“黄河楼杯”征文、“大禹杯”摄影、“贺兰山杯”书法等文化赛事载体，弘扬黄河文化，传承历史文脉；以青铜峡水利枢纽工程为题材，提炼《青铜峡》精华章节在黄河流域九省巡回演出，继续打磨提升实景剧《黄河谣》，讲好“黄河故事”，深入挖掘黄河文化蕴含的时代价值，持续扩大在全区、全国的文化影响力；培育青铜古镇文创商业街、萌宠乐园、汤泉疗养、动漫影视等新业态，对外运营，形成文旅融合新的产业增长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49" w:name="_Toc4554"/>
      <w:bookmarkStart w:id="50" w:name="_Toc5119"/>
      <w:r>
        <w:rPr>
          <w:rFonts w:hint="eastAsia" w:ascii="方正黑体简体" w:hAnsi="方正黑体简体" w:eastAsia="方正黑体简体" w:cs="方正黑体简体"/>
          <w:b w:val="0"/>
          <w:bCs/>
          <w:sz w:val="34"/>
          <w:szCs w:val="34"/>
        </w:rPr>
        <w:t>三、旅游+教育：研学教育旅行产品</w:t>
      </w:r>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着力整合优化区域内教育旅游资源，建立研学旅行基地，完善接待体系，以青少年游客为客源主体，开发黄河文化、科考、生态、历史遗迹等主题的研学旅行产品，在周末或寒暑假期间开展夏令营、冬令营和各种文化交流活动，繁荣研学旅游市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黄河文化研学教育基地：</w:t>
      </w:r>
      <w:r>
        <w:rPr>
          <w:rFonts w:hint="eastAsia" w:ascii="方正仿宋简体" w:hAnsi="方正仿宋简体" w:eastAsia="方正仿宋简体" w:cs="方正仿宋简体"/>
          <w:sz w:val="34"/>
          <w:szCs w:val="34"/>
        </w:rPr>
        <w:t>通过整合黄河大峡谷、黄河楼、黄河坛、鸟岛保护区、庙山湖、北岔口长城、鸽子山遗址等旅游资源，在保护历史文化遗迹的基础上，通过静态展示与动态演绎、传统表演与现代科技相结合，精心设计文化艺术观赏、水利工程认知、历史遗迹科考、边塞生活体验、红色教育传承等研学旅行活动课程，培育发展形成以黄河文化为核心的研学教育基地。</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湿地与鸟类研学教育基地：</w:t>
      </w:r>
      <w:r>
        <w:rPr>
          <w:rFonts w:hint="eastAsia" w:ascii="方正仿宋简体" w:hAnsi="方正仿宋简体" w:eastAsia="方正仿宋简体" w:cs="方正仿宋简体"/>
          <w:sz w:val="34"/>
          <w:szCs w:val="34"/>
        </w:rPr>
        <w:t>依托青铜峡鸟岛库区、黄河大峡谷以及区域内黄河沿线湿地资源，联合知名院校、科研机构，多渠道、多形式地开展科普服务活动，适时举办鸟类鉴赏和知识讲座、湿地文化节、观鸟夏令营等活动，重点开发湿地与鸟类研学游产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51" w:name="_Toc32266"/>
      <w:r>
        <w:rPr>
          <w:rFonts w:hint="eastAsia" w:ascii="方正黑体简体" w:hAnsi="方正黑体简体" w:eastAsia="方正黑体简体" w:cs="方正黑体简体"/>
          <w:b w:val="0"/>
          <w:bCs/>
          <w:sz w:val="34"/>
          <w:szCs w:val="34"/>
        </w:rPr>
        <w:t>四、旅游+工业：水电工业旅游产品</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依托青铜峡拦河大坝、黄河铁桥、青铜峡铝厂等水电工业资源，以及牛首山独特的高山地形、大美黄河旅游资源优势，以工业遗产文化创意体验、运动休闲度假体验功能为核心，植入旅游的休闲、体验、娱乐等元素，培育形成特色鲜明、形式多样、内涵丰富、产业完备、功能齐全的工业旅游产品体系。规划电力科技长廊、百米高空蹦极、天籁星空观测、天苑房车营地、冬日激情滑雪等特色旅游项目，强化工业旅游参与性、体验性、趣味性，打造西部知名的水电工业旅游景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52" w:name="_Toc12773"/>
      <w:bookmarkStart w:id="53" w:name="_Toc26223"/>
      <w:r>
        <w:rPr>
          <w:rFonts w:hint="eastAsia" w:ascii="方正黑体简体" w:hAnsi="方正黑体简体" w:eastAsia="方正黑体简体" w:cs="方正黑体简体"/>
          <w:b w:val="0"/>
          <w:bCs/>
          <w:sz w:val="34"/>
          <w:szCs w:val="34"/>
        </w:rPr>
        <w:t>五、旅游+</w:t>
      </w:r>
      <w:r>
        <w:rPr>
          <w:rFonts w:hint="eastAsia" w:ascii="方正黑体简体" w:hAnsi="方正黑体简体" w:eastAsia="方正黑体简体" w:cs="方正黑体简体"/>
          <w:b w:val="0"/>
          <w:bCs/>
          <w:sz w:val="34"/>
          <w:szCs w:val="34"/>
          <w:lang w:val="en-US" w:eastAsia="zh-CN"/>
        </w:rPr>
        <w:t>康养</w:t>
      </w:r>
      <w:r>
        <w:rPr>
          <w:rFonts w:hint="eastAsia" w:ascii="方正黑体简体" w:hAnsi="方正黑体简体" w:eastAsia="方正黑体简体" w:cs="方正黑体简体"/>
          <w:b w:val="0"/>
          <w:bCs/>
          <w:sz w:val="34"/>
          <w:szCs w:val="34"/>
        </w:rPr>
        <w:t>：康体养生旅游产品</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充分利用青铜峡生态环境和资源优势，推动旅游与养老、健康服务业的有机结合，以全健康、慢旅游、深体验为发展理念，大力发展休闲养生、康体养生、温泉养生、田园养生、运动养生等康体养生旅游产品。</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贺兰山东麓休闲康体养生庄园：</w:t>
      </w:r>
      <w:r>
        <w:rPr>
          <w:rFonts w:hint="eastAsia" w:ascii="方正仿宋简体" w:hAnsi="方正仿宋简体" w:eastAsia="方正仿宋简体" w:cs="方正仿宋简体"/>
          <w:sz w:val="34"/>
          <w:szCs w:val="34"/>
        </w:rPr>
        <w:t>依托贺兰山东麓百万亩世界级酿酒葡萄基地、葡萄酒庄集群，推进葡萄酒旅游产业一体化进程，构筑旅游核心吸引力。突出“葡萄酒+旅游”，推动酒庄景区化建设，配套完善酒庄或酒庄集中区域、旅游民宿、驿站酒店等旅游住宿餐饮配套设施，主动培育发展休闲养生、滋补养生、康体养生等康养旅游业态，开发具有休闲娱乐、健康养生等功能的葡萄酒休闲康养旅居产品。</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温泉养生度假功能组团：</w:t>
      </w:r>
      <w:r>
        <w:rPr>
          <w:rFonts w:hint="eastAsia" w:ascii="方正仿宋简体" w:hAnsi="方正仿宋简体" w:eastAsia="方正仿宋简体" w:cs="方正仿宋简体"/>
          <w:sz w:val="34"/>
          <w:szCs w:val="34"/>
        </w:rPr>
        <w:t>围绕鸽子山葡萄文化旅游小镇、青铜古镇徕·汤泉温泉旅游资源，以温泉养生文化为主题，融入中医养生理论和方法，重点开发天然温泉医疗、中草药浴、温泉蒸箱浴、温泉热浴等产品，建设集温泉浴汤、康复疗养、水上游乐为一体的温泉养生度假区。</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田园养生养老综合体：</w:t>
      </w:r>
      <w:r>
        <w:rPr>
          <w:rFonts w:hint="eastAsia" w:ascii="方正仿宋简体" w:hAnsi="方正仿宋简体" w:eastAsia="方正仿宋简体" w:cs="方正仿宋简体"/>
          <w:sz w:val="34"/>
          <w:szCs w:val="34"/>
        </w:rPr>
        <w:t>依托叶盛镇、青铜峡镇、陈袁滩镇乡村旅游和具有养生价值</w:t>
      </w:r>
      <w:r>
        <w:rPr>
          <w:rFonts w:hint="eastAsia" w:ascii="方正仿宋简体" w:hAnsi="方正仿宋简体" w:eastAsia="方正仿宋简体" w:cs="方正仿宋简体"/>
          <w:sz w:val="34"/>
          <w:szCs w:val="34"/>
          <w:lang w:eastAsia="zh-CN"/>
        </w:rPr>
        <w:t>的</w:t>
      </w:r>
      <w:r>
        <w:rPr>
          <w:rFonts w:hint="eastAsia" w:ascii="方正仿宋简体" w:hAnsi="方正仿宋简体" w:eastAsia="方正仿宋简体" w:cs="方正仿宋简体"/>
          <w:sz w:val="34"/>
          <w:szCs w:val="34"/>
        </w:rPr>
        <w:t>农业资源，以及黄河金岸众多高品位自然景观和人文景观优势，培育和发展以养生度假、健康养老为主题的乡村旅游经营业态，重点实施正鑫源休闲农业观光园、龙门村旅游特色村、韦桥美丽乡村、黄河金岸休闲康养中心项目，开发葡萄酒、富硒大米、莲湖西红柿、稻田蟹、稻田鸭等特色农产品和鲜食葡萄、特色林果等天然绿色旅游食品和保健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lang w:val="en-US" w:eastAsia="zh-CN"/>
        </w:rPr>
      </w:pPr>
      <w:r>
        <w:rPr>
          <w:rFonts w:hint="eastAsia" w:ascii="方正黑体简体" w:hAnsi="方正黑体简体" w:eastAsia="方正黑体简体" w:cs="方正黑体简体"/>
          <w:b w:val="0"/>
          <w:bCs/>
          <w:sz w:val="34"/>
          <w:szCs w:val="34"/>
          <w:lang w:val="en-US" w:eastAsia="zh-CN"/>
        </w:rPr>
        <w:t>旅游+体育：体育赛事旅游产品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打好动感体验牌，以黄河奥体中心等相关场馆设施为依托，培育大型会展品牌，做大黄河金岸马拉松、贺兰山东麓山地自行车赛等精品赛事。发展健身休闲类冰雪旅游产品，打造户外滑雪、滑冰运动基地。发展低空飞行、汽车、摩托车拉力赛等极限运动旅游产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54" w:name="_Toc2953"/>
      <w:bookmarkStart w:id="55" w:name="_Toc8449"/>
      <w:r>
        <w:rPr>
          <w:rFonts w:hint="eastAsia" w:ascii="方正黑体简体" w:hAnsi="方正黑体简体" w:eastAsia="方正黑体简体" w:cs="方正黑体简体"/>
          <w:b w:val="0"/>
          <w:bCs/>
          <w:sz w:val="34"/>
          <w:szCs w:val="34"/>
          <w:lang w:val="en-US" w:eastAsia="zh-CN"/>
        </w:rPr>
        <w:t>七</w:t>
      </w:r>
      <w:r>
        <w:rPr>
          <w:rFonts w:hint="eastAsia" w:ascii="方正黑体简体" w:hAnsi="方正黑体简体" w:eastAsia="方正黑体简体" w:cs="方正黑体简体"/>
          <w:b w:val="0"/>
          <w:bCs/>
          <w:sz w:val="34"/>
          <w:szCs w:val="34"/>
        </w:rPr>
        <w:t>、旅游+交通：慢游休闲旅游产品</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依托青铜峡主要水系（黄河、汉延渠、惠农渠、西干渠、唐徕渠等）及主要道路（G109、滨河大道、叶甘公路、石中高速、S201等），发展自由、休闲、绿色的慢游休闲产品。</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自驾车旅游营地：</w:t>
      </w:r>
      <w:r>
        <w:rPr>
          <w:rFonts w:hint="eastAsia" w:ascii="方正仿宋简体" w:hAnsi="方正仿宋简体" w:eastAsia="方正仿宋简体" w:cs="方正仿宋简体"/>
          <w:sz w:val="34"/>
          <w:szCs w:val="34"/>
        </w:rPr>
        <w:t>结合景区、旅游区建设，规划自驾车露营地、汽车营地，提供自驾补给、汽车维修及休闲娱乐设施；结合乡村精品民宿建设，建设房车营地，为自驾客群提供针对性住宿、餐饮服务；在景观和视线较好地段，设置观景平台，满足短暂休憩和休闲服务。</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徒步、自行车慢游产品：</w:t>
      </w:r>
      <w:r>
        <w:rPr>
          <w:rFonts w:hint="eastAsia" w:ascii="方正仿宋简体" w:hAnsi="方正仿宋简体" w:eastAsia="方正仿宋简体" w:cs="方正仿宋简体"/>
          <w:sz w:val="34"/>
          <w:szCs w:val="34"/>
        </w:rPr>
        <w:t>借助滨河大道、叶玉公路、叶甘公路、大中路、正源街快速路、唐徕渠和西干渠</w:t>
      </w:r>
      <w:r>
        <w:rPr>
          <w:rFonts w:hint="eastAsia" w:ascii="方正仿宋简体" w:hAnsi="方正仿宋简体" w:eastAsia="方正仿宋简体" w:cs="方正仿宋简体"/>
          <w:color w:val="auto"/>
          <w:sz w:val="34"/>
          <w:szCs w:val="34"/>
        </w:rPr>
        <w:t>沿渠路</w:t>
      </w:r>
      <w:r>
        <w:rPr>
          <w:rFonts w:hint="eastAsia" w:ascii="方正仿宋简体" w:hAnsi="方正仿宋简体" w:eastAsia="方正仿宋简体" w:cs="方正仿宋简体"/>
          <w:sz w:val="34"/>
          <w:szCs w:val="34"/>
        </w:rPr>
        <w:t>等道路，开发生态慢游线路，提升整治沿线道路景观，完善道路标识系统。</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b/>
          <w:bCs/>
          <w:sz w:val="34"/>
          <w:szCs w:val="34"/>
        </w:rPr>
        <w:t>亲水休闲旅游产品：</w:t>
      </w:r>
      <w:r>
        <w:rPr>
          <w:rFonts w:hint="eastAsia" w:ascii="方正仿宋简体" w:hAnsi="方正仿宋简体" w:eastAsia="方正仿宋简体" w:cs="方正仿宋简体"/>
          <w:sz w:val="34"/>
          <w:szCs w:val="34"/>
        </w:rPr>
        <w:t>依托黄河大峡谷旅游区、青铜峡鸟岛以及黄河湿地等水域资源，通过拓展大峡谷通航里程、景区公共服务设施提升等项目，开发垂钓、滑水、水上蹦床、水上音乐舞台表演、水上婚纱摄影、水上餐厅等亲水休闲项目，丰富市民及游客休闲生活。</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56" w:name="_Toc25720"/>
      <w:r>
        <w:rPr>
          <w:rFonts w:hint="eastAsia" w:ascii="黑体" w:hAnsi="黑体" w:eastAsia="黑体" w:cs="黑体"/>
          <w:b w:val="0"/>
          <w:bCs/>
          <w:kern w:val="0"/>
          <w:sz w:val="34"/>
          <w:szCs w:val="34"/>
        </w:rPr>
        <w:t>第二节 加快推进三大特色品牌建设新计划</w:t>
      </w:r>
      <w:bookmarkEnd w:id="56"/>
    </w:p>
    <w:p>
      <w:pPr>
        <w:keepNext w:val="0"/>
        <w:keepLines w:val="0"/>
        <w:pageBreakBefore w:val="0"/>
        <w:widowControl w:val="0"/>
        <w:kinsoku/>
        <w:wordWrap/>
        <w:overflowPunct/>
        <w:topLinePunct w:val="0"/>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w w:val="90"/>
          <w:sz w:val="34"/>
          <w:szCs w:val="34"/>
        </w:rPr>
      </w:pPr>
      <w:bookmarkStart w:id="57" w:name="_Toc21997"/>
      <w:bookmarkStart w:id="58" w:name="_Toc5435"/>
      <w:r>
        <w:rPr>
          <w:rFonts w:hint="eastAsia" w:ascii="方正黑体简体" w:hAnsi="方正黑体简体" w:eastAsia="方正黑体简体" w:cs="方正黑体简体"/>
          <w:b w:val="0"/>
          <w:bCs/>
          <w:sz w:val="34"/>
          <w:szCs w:val="34"/>
        </w:rPr>
        <w:t>一、</w:t>
      </w:r>
      <w:r>
        <w:rPr>
          <w:rFonts w:hint="eastAsia" w:ascii="方正黑体简体" w:hAnsi="方正黑体简体" w:eastAsia="方正黑体简体" w:cs="方正黑体简体"/>
          <w:b w:val="0"/>
          <w:bCs/>
          <w:w w:val="90"/>
          <w:sz w:val="34"/>
          <w:szCs w:val="34"/>
        </w:rPr>
        <w:t>做靓“水工文化”，打响“黄河十里长峡”品牌</w:t>
      </w:r>
      <w:bookmarkEnd w:id="57"/>
      <w:bookmarkEnd w:id="58"/>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开展黄河大峡谷国家5A级旅游景区创建，立足山、水、人、物资源，深入挖掘鸽子山古文化遗址，大禹治水丰功伟绩，秦王古渡历史印记，穆桂英点将民间故事，拦河大坝水利工程价值以及郭守敬、俞益模历代名人等历史文化内涵。完成黄河感恩、长峡漂游、百塔解忧、古今水工、滨河大道荷花景观游五大文化旅游产品开发，打造可感受、可体验、可消费的水电工程游、名山胜水游旅游新业态，提升品质，扩大水工文化影响力。</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59" w:name="_Toc9960"/>
      <w:bookmarkStart w:id="60" w:name="_Toc21354"/>
      <w:r>
        <w:rPr>
          <w:rFonts w:hint="eastAsia" w:ascii="方正黑体简体" w:hAnsi="方正黑体简体" w:eastAsia="方正黑体简体" w:cs="方正黑体简体"/>
          <w:b w:val="0"/>
          <w:bCs/>
          <w:sz w:val="34"/>
          <w:szCs w:val="34"/>
        </w:rPr>
        <w:t>二、做实“农耕文化”，打响“汉唐古渠第一村”品牌</w:t>
      </w:r>
      <w:bookmarkEnd w:id="59"/>
      <w:bookmarkEnd w:id="60"/>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借助“世界灌溉工程遗产”品牌影响力，深度开发、衍生系列主题文化旅游产品。以实施乡村振兴为切入点，对引黄古灌区的现存资源进行宜游化改造，延伸拓展大坝韦桥中国美丽休闲乡村、古渠首公园等景区旅游接待服务功能，创新培育果树乐园、创客旅居、生态农庄等乡村旅游新业态，进一步提升国家级水利风景区旅游服务接待功能。</w:t>
      </w:r>
    </w:p>
    <w:p>
      <w:pPr>
        <w:keepNext w:val="0"/>
        <w:keepLines w:val="0"/>
        <w:pageBreakBefore w:val="0"/>
        <w:widowControl w:val="0"/>
        <w:kinsoku/>
        <w:wordWrap/>
        <w:overflowPunct/>
        <w:topLinePunct w:val="0"/>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pacing w:val="-11"/>
          <w:w w:val="90"/>
          <w:sz w:val="34"/>
          <w:szCs w:val="34"/>
        </w:rPr>
      </w:pPr>
      <w:bookmarkStart w:id="61" w:name="_Toc8611"/>
      <w:bookmarkStart w:id="62" w:name="_Toc17909"/>
      <w:r>
        <w:rPr>
          <w:rFonts w:hint="eastAsia" w:ascii="方正黑体简体" w:hAnsi="方正黑体简体" w:eastAsia="方正黑体简体" w:cs="方正黑体简体"/>
          <w:b w:val="0"/>
          <w:bCs/>
          <w:sz w:val="34"/>
          <w:szCs w:val="34"/>
        </w:rPr>
        <w:t>三、做深“葡萄</w:t>
      </w:r>
      <w:r>
        <w:rPr>
          <w:rFonts w:hint="eastAsia" w:ascii="方正黑体简体" w:hAnsi="方正黑体简体" w:eastAsia="方正黑体简体" w:cs="方正黑体简体"/>
          <w:b w:val="0"/>
          <w:bCs/>
          <w:sz w:val="34"/>
          <w:szCs w:val="34"/>
          <w:lang w:eastAsia="zh-CN"/>
        </w:rPr>
        <w:t>酒</w:t>
      </w:r>
      <w:r>
        <w:rPr>
          <w:rFonts w:hint="eastAsia" w:ascii="方正黑体简体" w:hAnsi="方正黑体简体" w:eastAsia="方正黑体简体" w:cs="方正黑体简体"/>
          <w:b w:val="0"/>
          <w:bCs/>
          <w:sz w:val="34"/>
          <w:szCs w:val="34"/>
        </w:rPr>
        <w:t>文化”，打响“中国酿酒葡萄之乡”品牌</w:t>
      </w:r>
      <w:bookmarkEnd w:id="61"/>
      <w:bookmarkEnd w:id="62"/>
    </w:p>
    <w:p>
      <w:pPr>
        <w:keepNext w:val="0"/>
        <w:keepLines w:val="0"/>
        <w:pageBreakBefore w:val="0"/>
        <w:widowControl w:val="0"/>
        <w:kinsoku/>
        <w:wordWrap/>
        <w:overflowPunct/>
        <w:topLinePunct w:val="0"/>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依托贺兰山东麓甘城子地区、鸽子山和广武地区为主的酿酒葡萄基地、葡萄酒庄集群和沿线历史文化旅游资源，推进葡萄酒旅游产业的一体化进程，构筑旅游核心吸引力。运用市场运作模式，依托现有酒庄和规划待建酒庄，按照“小镇+酒庄+乡村民宿”发展模式，强一产接二产连三产，大力发展集休闲康养区（度假住宿）、商旅会议、文创体验为一体的产业集群，建设青铜峡鸽子山葡萄酒文化小镇项目，进一步做深、做精葡萄酒文化旅游产业。</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63" w:name="_Toc19899"/>
      <w:bookmarkStart w:id="64" w:name="_Toc28183"/>
      <w:r>
        <w:rPr>
          <w:rFonts w:hint="eastAsia" w:ascii="黑体" w:hAnsi="黑体" w:eastAsia="黑体" w:cs="黑体"/>
          <w:b w:val="0"/>
          <w:bCs/>
          <w:kern w:val="0"/>
          <w:sz w:val="34"/>
          <w:szCs w:val="34"/>
        </w:rPr>
        <w:t>第三节 培育拓展“青铜峡之夜”</w:t>
      </w:r>
      <w:bookmarkEnd w:id="63"/>
      <w:r>
        <w:rPr>
          <w:rFonts w:hint="eastAsia" w:ascii="黑体" w:hAnsi="黑体" w:eastAsia="黑体" w:cs="黑体"/>
          <w:b w:val="0"/>
          <w:bCs/>
          <w:kern w:val="0"/>
          <w:sz w:val="34"/>
          <w:szCs w:val="34"/>
        </w:rPr>
        <w:t>旅游新IP</w:t>
      </w:r>
      <w:bookmarkEnd w:id="64"/>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以城区商业街地块为核心，完善城市旅游功能，推进“商旅”融合，进一步改造提升四大特色街区，即龙海—利民西街、天一街、康乐东街、文化北街，引导文旅特色街区和夜间经济发展，着力构建城市休闲旅游产品体系，成为全市旅游服务和集散中心。</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65" w:name="_Toc499"/>
      <w:bookmarkStart w:id="66" w:name="_Toc12046"/>
      <w:r>
        <w:rPr>
          <w:rFonts w:hint="eastAsia" w:ascii="方正黑体简体" w:hAnsi="方正黑体简体" w:eastAsia="方正黑体简体" w:cs="方正黑体简体"/>
          <w:b w:val="0"/>
          <w:bCs/>
          <w:sz w:val="34"/>
          <w:szCs w:val="34"/>
        </w:rPr>
        <w:t>一、点亮夜间文旅示范商业街区</w:t>
      </w:r>
      <w:bookmarkEnd w:id="65"/>
      <w:bookmarkEnd w:id="66"/>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以黄河文化为主题，实施中心城区夜间景观亮化提升工程，打造流光溢彩的印象黄河青铜峡；通过龙海商业街、新百美食街、天一街、康乐街等特色街区夜间文旅消费项目策划，打造各具特色、各有主题的“青铜峡不夜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67" w:name="_Toc22052"/>
      <w:bookmarkStart w:id="68" w:name="_Toc8161"/>
      <w:r>
        <w:rPr>
          <w:rFonts w:hint="eastAsia" w:ascii="方正黑体简体" w:hAnsi="方正黑体简体" w:eastAsia="方正黑体简体" w:cs="方正黑体简体"/>
          <w:b w:val="0"/>
          <w:bCs/>
          <w:sz w:val="34"/>
          <w:szCs w:val="34"/>
        </w:rPr>
        <w:t>二、创新夜间演艺娱乐旅游产品</w:t>
      </w:r>
      <w:bookmarkEnd w:id="67"/>
      <w:bookmarkEnd w:id="68"/>
    </w:p>
    <w:p>
      <w:pPr>
        <w:keepNext w:val="0"/>
        <w:keepLines w:val="0"/>
        <w:pageBreakBefore w:val="0"/>
        <w:widowControl w:val="0"/>
        <w:kinsoku/>
        <w:wordWrap/>
        <w:overflowPunct/>
        <w:topLinePunct w:val="0"/>
        <w:autoSpaceDE/>
        <w:autoSpaceDN/>
        <w:bidi w:val="0"/>
        <w:adjustRightInd/>
        <w:snapToGrid/>
        <w:spacing w:line="560" w:lineRule="exact"/>
        <w:ind w:firstLine="666" w:firstLineChars="200"/>
        <w:textAlignment w:val="auto"/>
        <w:rPr>
          <w:rFonts w:hint="eastAsia" w:ascii="方正仿宋简体" w:hAnsi="方正仿宋简体" w:eastAsia="方正仿宋简体" w:cs="方正仿宋简体"/>
          <w:w w:val="98"/>
          <w:sz w:val="34"/>
          <w:szCs w:val="34"/>
        </w:rPr>
      </w:pPr>
      <w:r>
        <w:rPr>
          <w:rFonts w:hint="eastAsia" w:ascii="方正仿宋简体" w:hAnsi="方正仿宋简体" w:eastAsia="方正仿宋简体" w:cs="方正仿宋简体"/>
          <w:w w:val="98"/>
          <w:sz w:val="34"/>
          <w:szCs w:val="34"/>
        </w:rPr>
        <w:t>鼓励戏曲、曲艺、音乐等演出融入夜生活，以乡村大舞台、城市广场、景区剧院为平台，以黄河岸边吼秦腔、百姓春晚、社火、花灯等民俗活动为载体，丰富夜间演艺娱乐项目；在黄河楼、青铜峡古镇等重点文化景区，以相关历史典故、文化主题为基础，开发相关演艺剧目，历史民俗演艺夜游产品；以传统节日及庙会等为依托，策划夜间休闲娱乐的猜灯谜、赏花灯、逛庙会项目。</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69" w:name="_Toc19496"/>
      <w:bookmarkStart w:id="70" w:name="_Toc21826"/>
      <w:r>
        <w:rPr>
          <w:rFonts w:hint="eastAsia" w:ascii="方正黑体简体" w:hAnsi="方正黑体简体" w:eastAsia="方正黑体简体" w:cs="方正黑体简体"/>
          <w:b w:val="0"/>
          <w:bCs/>
          <w:sz w:val="34"/>
          <w:szCs w:val="34"/>
        </w:rPr>
        <w:t>三、拓展夜间参与体验旅游产品</w:t>
      </w:r>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以黄河楼景区为中心，辐射周边黄河文化园、黄河奥体中心、欧蓓莎综合商业区、黄河外滩综合商业区，培育黄河西岸商旅文娱复合型夜间消费空间。围绕“五夜经济”发展，一是打造“夜品佳肴”亮点，挖掘地方美食文化资源，丰富“餐饮+N”夜间消费体验；二是激发“夜购潮货”潜力，鼓励商场超市、餐饮酒吧、休闲娱乐等服务行业，推广夜间延时服务，做大夜间消费市场规模；三是提升“夜游青铜”品质，精心培育“夜游黄河”文化旅游品牌，开发一批标志性夜间文旅项目；四是培育“夜赏文创”精品，支持引进各类优秀精神文化产品、非遗产品，提高夜间经济文化内涵；五是丰富“夜健体魄”活动，组织开展夜间群众性体育健身活动，推广公共体育设施延时开放，全方位促进夜间经济繁荣发展。</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仿宋_GB2312" w:hAnsi="仿宋_GB2312" w:eastAsia="仿宋_GB2312" w:cs="仿宋_GB2312"/>
          <w:b/>
          <w:kern w:val="0"/>
          <w:sz w:val="32"/>
          <w:szCs w:val="32"/>
        </w:rPr>
      </w:pPr>
      <w:bookmarkStart w:id="71" w:name="_Toc27832"/>
      <w:r>
        <w:rPr>
          <w:rFonts w:hint="eastAsia" w:ascii="黑体" w:hAnsi="黑体" w:eastAsia="黑体" w:cs="黑体"/>
          <w:b w:val="0"/>
          <w:bCs/>
          <w:kern w:val="0"/>
          <w:sz w:val="34"/>
          <w:szCs w:val="34"/>
        </w:rPr>
        <w:t>第四节 着力构建“多维配套”旅游服务新体系</w:t>
      </w:r>
      <w:bookmarkEnd w:id="71"/>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72" w:name="_Toc18824"/>
      <w:bookmarkStart w:id="73" w:name="_Toc30177"/>
      <w:r>
        <w:rPr>
          <w:rFonts w:hint="eastAsia" w:ascii="方正黑体简体" w:hAnsi="方正黑体简体" w:eastAsia="方正黑体简体" w:cs="方正黑体简体"/>
          <w:b w:val="0"/>
          <w:bCs/>
          <w:sz w:val="34"/>
          <w:szCs w:val="34"/>
        </w:rPr>
        <w:t>一、优化完善旅游住宿结构</w:t>
      </w:r>
      <w:bookmarkEnd w:id="72"/>
      <w:bookmarkEnd w:id="73"/>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（一）构建多元住宿接待体系。</w:t>
      </w:r>
      <w:r>
        <w:rPr>
          <w:rFonts w:hint="eastAsia" w:ascii="方正仿宋简体" w:hAnsi="方正仿宋简体" w:eastAsia="方正仿宋简体" w:cs="方正仿宋简体"/>
          <w:sz w:val="34"/>
          <w:szCs w:val="34"/>
        </w:rPr>
        <w:t>以提高现有住宿设施的管理与服务水平为核心，以住宿设施结构优化为主线，进一步调整优化青铜峡市旅游住宿设施总量、类型、档次和布局，有序推进全市旅游饭店的新建、改建项目。重点引导小坝镇、陈袁滩镇、叶盛镇、大坝镇做精做强民宿产业，提升乡村旅游接待服务档次；依托贺兰山下葡萄产业集群以及优质自然风景资源，围绕葡萄、星空、乡村、山野、温泉、康养等特色主题，培育和建设以葡萄文化旅游小镇、星空酒店、野奢酒店等为代表的高端养心休闲度假接待功能</w:t>
      </w:r>
      <w:r>
        <w:rPr>
          <w:rFonts w:hint="eastAsia" w:ascii="方正仿宋简体" w:hAnsi="方正仿宋简体" w:eastAsia="方正仿宋简体" w:cs="方正仿宋简体"/>
          <w:sz w:val="34"/>
          <w:szCs w:val="34"/>
          <w:highlight w:val="none"/>
        </w:rPr>
        <w:t>组团</w:t>
      </w:r>
      <w:r>
        <w:rPr>
          <w:rFonts w:hint="eastAsia" w:ascii="方正仿宋简体" w:hAnsi="方正仿宋简体" w:eastAsia="方正仿宋简体" w:cs="方正仿宋简体"/>
          <w:sz w:val="34"/>
          <w:szCs w:val="34"/>
        </w:rPr>
        <w:t>；创新住宿业态，引入帐篷酒店、木屋旅馆、汽车宿营地等特色IP住宿接待组团，形成多元化、特色化的住宿接待服务体系。</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（二）培育提升品牌力、竞争力。</w:t>
      </w:r>
      <w:r>
        <w:rPr>
          <w:rFonts w:hint="eastAsia" w:ascii="方正仿宋简体" w:hAnsi="方正仿宋简体" w:eastAsia="方正仿宋简体" w:cs="方正仿宋简体"/>
          <w:sz w:val="34"/>
          <w:szCs w:val="34"/>
        </w:rPr>
        <w:t>促进中高档酒店品牌化、经济型酒店连锁化、乡村客栈规范化、度假酒店主题化、酒店服务个性化发展。引导青铜峡宾馆创建四星级宾馆，</w:t>
      </w:r>
      <w:r>
        <w:rPr>
          <w:rFonts w:hint="eastAsia" w:ascii="方正仿宋简体" w:hAnsi="方正仿宋简体" w:eastAsia="方正仿宋简体" w:cs="方正仿宋简体"/>
          <w:color w:val="auto"/>
          <w:sz w:val="34"/>
          <w:szCs w:val="34"/>
          <w:lang w:eastAsia="zh-CN"/>
        </w:rPr>
        <w:t>上陵</w:t>
      </w:r>
      <w:r>
        <w:rPr>
          <w:rFonts w:hint="eastAsia" w:ascii="方正仿宋简体" w:hAnsi="方正仿宋简体" w:eastAsia="方正仿宋简体" w:cs="方正仿宋简体"/>
          <w:color w:val="auto"/>
          <w:sz w:val="34"/>
          <w:szCs w:val="34"/>
        </w:rPr>
        <w:t>波斯顿</w:t>
      </w:r>
      <w:r>
        <w:rPr>
          <w:rFonts w:hint="eastAsia" w:ascii="方正仿宋简体" w:hAnsi="方正仿宋简体" w:eastAsia="方正仿宋简体" w:cs="方正仿宋简体"/>
          <w:sz w:val="34"/>
          <w:szCs w:val="34"/>
        </w:rPr>
        <w:t>、金石商务、时兴饭店宾馆创建三星级宾馆。积极引进国际国内著名宾馆管理品牌，扶持本土化旅游宾馆管理品牌，培育一批有产业竞争力和社会影响力的酒店品牌。形成星级酒店、精品民宿、特色文化主题酒店、智慧酒店为引领的高品质旅游住宿集群，进一步提升接待服务能力。</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74" w:name="_Toc19563"/>
      <w:bookmarkStart w:id="75" w:name="_Toc458"/>
      <w:r>
        <w:rPr>
          <w:rFonts w:hint="eastAsia" w:ascii="方正黑体简体" w:hAnsi="方正黑体简体" w:eastAsia="方正黑体简体" w:cs="方正黑体简体"/>
          <w:b w:val="0"/>
          <w:bCs/>
          <w:sz w:val="34"/>
          <w:szCs w:val="34"/>
        </w:rPr>
        <w:t>二、培育提升特色餐饮</w:t>
      </w:r>
      <w:bookmarkEnd w:id="74"/>
      <w:r>
        <w:rPr>
          <w:rFonts w:hint="eastAsia" w:ascii="方正黑体简体" w:hAnsi="方正黑体简体" w:eastAsia="方正黑体简体" w:cs="方正黑体简体"/>
          <w:b w:val="0"/>
          <w:bCs/>
          <w:sz w:val="34"/>
          <w:szCs w:val="34"/>
        </w:rPr>
        <w:t>产业</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以提升服务品质为核心，充分利用青铜峡市及周边丰富的物产资源，弘扬具有悠久传统的特色餐饮文化，建立多元化、多层次、功能完善的旅游餐饮服务体系，打造多元化特色餐饮品牌，形成品种和口味多样的系列化餐饮，能够满足不同消费需求。</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（一）推出多样地方特色美食。</w:t>
      </w:r>
      <w:r>
        <w:rPr>
          <w:rFonts w:hint="eastAsia" w:ascii="方正仿宋简体" w:hAnsi="方正仿宋简体" w:eastAsia="方正仿宋简体" w:cs="方正仿宋简体"/>
          <w:sz w:val="34"/>
          <w:szCs w:val="34"/>
        </w:rPr>
        <w:t>以民族饮食特色、黄河风味为主，注重突出地方特色，以小坝镇、陈袁滩镇、峡口镇等乡镇等为重点，对现有美食街、生态餐厅进行改造和建设，到2025年形成形式多样，具有地域特色的餐馆、小吃街等合理分布的格局。提升原有餐饮设施标准，尤其是对特色旅游小镇、景区的餐饮档次进行提升。</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（二）推进“美食”品牌化经营。</w:t>
      </w:r>
      <w:r>
        <w:rPr>
          <w:rFonts w:hint="eastAsia" w:ascii="方正仿宋简体" w:hAnsi="方正仿宋简体" w:eastAsia="方正仿宋简体" w:cs="方正仿宋简体"/>
          <w:sz w:val="34"/>
          <w:szCs w:val="34"/>
        </w:rPr>
        <w:t>建立完善统一的行业标准，构建餐饮行业食品卫生安全体系，打造放心消费环境，逐步改善就餐环境，提高旅游服务质量。大力推进食品及餐厅的国际认证，形成在国内外有影响力的品牌。抢先注册旅游美食商标，打造一批青铜峡本地特色的餐饮品牌，形成连锁化经营。</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（三）创新发展“农家”饮食。</w:t>
      </w:r>
      <w:r>
        <w:rPr>
          <w:rFonts w:hint="eastAsia" w:ascii="方正仿宋简体" w:hAnsi="方正仿宋简体" w:eastAsia="方正仿宋简体" w:cs="方正仿宋简体"/>
          <w:sz w:val="34"/>
          <w:szCs w:val="34"/>
        </w:rPr>
        <w:t>大力发展“农家”乡村特色饮食，举办乡村农家餐饮大赛，遴选一批特色菜品，鼓励发展包括特色菜、农家菜、绿色食品等在内的地方特产，创建若干个品牌，形成招牌菜、“看家菜”，形成青铜峡市乡村美食系列。</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76" w:name="_Toc12040"/>
      <w:bookmarkStart w:id="77" w:name="_Toc28690"/>
      <w:r>
        <w:rPr>
          <w:rFonts w:hint="eastAsia" w:ascii="方正黑体简体" w:hAnsi="方正黑体简体" w:eastAsia="方正黑体简体" w:cs="方正黑体简体"/>
          <w:b w:val="0"/>
          <w:bCs/>
          <w:sz w:val="34"/>
          <w:szCs w:val="34"/>
        </w:rPr>
        <w:t>三、促进旅游商品产业化发展</w:t>
      </w:r>
      <w:bookmarkEnd w:id="76"/>
      <w:bookmarkEnd w:id="77"/>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（一）强化旅游商品创新研发力度。</w:t>
      </w:r>
      <w:r>
        <w:rPr>
          <w:rFonts w:hint="eastAsia" w:ascii="方正仿宋简体" w:hAnsi="方正仿宋简体" w:eastAsia="方正仿宋简体" w:cs="方正仿宋简体"/>
          <w:sz w:val="34"/>
          <w:szCs w:val="34"/>
        </w:rPr>
        <w:t>以祥云皮草服饰、塞外香大米、西鸽葡萄酒、老苗月饼等名牌产品为依托，加强青铜峡市现有旅游商品品牌的深度研发与开发，打造“青铜峡礼物”。积极发展柳编、刺绣、剪纸等传统手工艺，培育一批具有地方特色的旅游工艺品、旅游纪念品，衍生丰富文化旅游产品和拓展营销市场，形成新的经济增长点。扶持发展牛仔八宝茶、伊众源食品、圣源春食品、祥云皮草、塞外香食品、西鸽葡萄酒等为代表的5-8家特色旅游商品生产骨干企业，实现旅游商品的规模化、标准化生产，逐渐提高旅游商品收入在旅游总收入中的比重。</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（二）营造良好旅游商品营销环境。</w:t>
      </w:r>
      <w:r>
        <w:rPr>
          <w:rFonts w:hint="eastAsia" w:ascii="方正仿宋简体" w:hAnsi="方正仿宋简体" w:eastAsia="方正仿宋简体" w:cs="方正仿宋简体"/>
          <w:sz w:val="34"/>
          <w:szCs w:val="34"/>
        </w:rPr>
        <w:t>围绕地方特色商品、地方风味小吃、旅游用品及装备，发展培育文创产品和旅游商品研发生产基地，设置“青铜峡礼物”专卖店，在各重要景区游客服务中心设置旅游商品专区，形成具有青铜峡特色的旅游商品品牌营销环境。鼓励优质旅游商品进驻主要旅游购物区、城市大型商场超市、城市交通枢纽等，强化线上线下相结合的销售渠道。</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78" w:name="_Toc11856"/>
      <w:bookmarkStart w:id="79" w:name="_Toc5793"/>
      <w:r>
        <w:rPr>
          <w:rFonts w:hint="eastAsia" w:ascii="方正黑体简体" w:hAnsi="方正黑体简体" w:eastAsia="方正黑体简体" w:cs="方正黑体简体"/>
          <w:b w:val="0"/>
          <w:bCs/>
          <w:sz w:val="34"/>
          <w:szCs w:val="34"/>
        </w:rPr>
        <w:t>四、优化提升全流程旅游服务</w:t>
      </w:r>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（一）旅游交通服务体系提升。</w:t>
      </w:r>
      <w:r>
        <w:rPr>
          <w:rFonts w:hint="eastAsia" w:ascii="方正仿宋简体" w:hAnsi="方正仿宋简体" w:eastAsia="方正仿宋简体" w:cs="方正仿宋简体"/>
          <w:sz w:val="34"/>
          <w:szCs w:val="34"/>
        </w:rPr>
        <w:t>一是完善陆路交通网络，按照旅游景观道路的要求，提升区域旅游主干道，保障各旅游板块的快速连接，加快景区对外联系</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最后一公里</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道路的建设和路幅拓宽，推进城际、城乡、旅游客运班线公交化和定制公交化运营，进一步构建网络化旅游公交系统，形成“外通内联、通村畅乡”公交网络。二是推动慢行系统建设，对滨河大道、叶玉公路、叶甘公路、大中路、正源街快速路、唐徕渠和西干渠沿渠道路等沿线建设生态慢游线路，形成多层次的慢行交通系统，引导旅游交通的绿色低碳发展。三是积极培育旅游交通企业，组建旅游车船公司或旅游车队，继续推动自驾游基地和房车营地建设，积极开展落地自驾旅游和异地租赁业务，健全自驾游服务体系。</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（二）集散中心功能布局优化。</w:t>
      </w:r>
      <w:r>
        <w:rPr>
          <w:rFonts w:hint="eastAsia" w:ascii="方正仿宋简体" w:hAnsi="方正仿宋简体" w:eastAsia="方正仿宋简体" w:cs="方正仿宋简体"/>
          <w:sz w:val="34"/>
          <w:szCs w:val="34"/>
        </w:rPr>
        <w:t>进一步完善集散中心体系建设，充实集散中心相关配套服务功能，构建布局合理、功能完善的集散中心网络。形成青铜峡市“1+4+N”全域三级旅游集散中心体系。</w:t>
      </w:r>
      <w:r>
        <w:rPr>
          <w:rFonts w:hint="eastAsia" w:ascii="方正仿宋简体" w:hAnsi="方正仿宋简体" w:eastAsia="方正仿宋简体" w:cs="方正仿宋简体"/>
          <w:b/>
          <w:bCs/>
          <w:sz w:val="34"/>
          <w:szCs w:val="34"/>
        </w:rPr>
        <w:t>“1”：</w:t>
      </w:r>
      <w:r>
        <w:rPr>
          <w:rFonts w:hint="eastAsia" w:ascii="方正仿宋简体" w:hAnsi="方正仿宋简体" w:eastAsia="方正仿宋简体" w:cs="方正仿宋简体"/>
          <w:sz w:val="34"/>
          <w:szCs w:val="34"/>
        </w:rPr>
        <w:t>位于黄河奥体中心的青铜峡全域旅游集散中心。面向整个青铜峡市旅游市场，摆脱一般游客中心功能单一</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人气不足的局面，整合全市交通集散和游客服务功能，对外进行景区宣传与介绍。提供咨询与帮助、出售纪念品、接受意见与建议、提供交通服务。对内组织优化旅游线路，整合社会资源，为游客提供全面服务。</w:t>
      </w:r>
      <w:r>
        <w:rPr>
          <w:rFonts w:hint="eastAsia" w:ascii="方正仿宋简体" w:hAnsi="方正仿宋简体" w:eastAsia="方正仿宋简体" w:cs="方正仿宋简体"/>
          <w:b/>
          <w:bCs/>
          <w:sz w:val="34"/>
          <w:szCs w:val="34"/>
        </w:rPr>
        <w:t>“4”：</w:t>
      </w:r>
      <w:r>
        <w:rPr>
          <w:rFonts w:hint="eastAsia" w:ascii="方正仿宋简体" w:hAnsi="方正仿宋简体" w:eastAsia="方正仿宋简体" w:cs="方正仿宋简体"/>
          <w:sz w:val="34"/>
          <w:szCs w:val="34"/>
        </w:rPr>
        <w:t>四个旅游咨询服务中心。主要包含鸽子山葡萄小镇旅游咨询服务中心、叶盛镇旅游咨询服务中心、正源街快速通道毛桥旅游咨询服务中心、黄河鸟岛旅游咨询服务中心。“</w:t>
      </w:r>
      <w:r>
        <w:rPr>
          <w:rFonts w:hint="eastAsia" w:ascii="方正仿宋简体" w:hAnsi="方正仿宋简体" w:eastAsia="方正仿宋简体" w:cs="方正仿宋简体"/>
          <w:b/>
          <w:bCs/>
          <w:sz w:val="34"/>
          <w:szCs w:val="34"/>
        </w:rPr>
        <w:t>N”：</w:t>
      </w:r>
      <w:r>
        <w:rPr>
          <w:rFonts w:hint="eastAsia" w:ascii="方正仿宋简体" w:hAnsi="方正仿宋简体" w:eastAsia="方正仿宋简体" w:cs="方正仿宋简体"/>
          <w:sz w:val="34"/>
          <w:szCs w:val="34"/>
        </w:rPr>
        <w:t>N个游客服务中心。主要为黄河大峡谷、黄河楼、黄河坛、董府、牛首山游客服务中心等覆盖全市各景区（景点）游客服务中心。</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（三）自驾旅游服务体系优化。</w:t>
      </w:r>
      <w:r>
        <w:rPr>
          <w:rFonts w:hint="eastAsia" w:ascii="方正仿宋简体" w:hAnsi="方正仿宋简体" w:eastAsia="方正仿宋简体" w:cs="方正仿宋简体"/>
          <w:sz w:val="34"/>
          <w:szCs w:val="34"/>
        </w:rPr>
        <w:t>构建自驾车旅游产品体系和服务营地系统，推出户外旅游线路，发展自助游和户外游等旅游产品。</w:t>
      </w:r>
      <w:r>
        <w:rPr>
          <w:rFonts w:hint="eastAsia" w:ascii="方正仿宋简体" w:hAnsi="方正仿宋简体" w:eastAsia="方正仿宋简体" w:cs="方正仿宋简体"/>
          <w:b/>
          <w:bCs/>
          <w:sz w:val="34"/>
          <w:szCs w:val="34"/>
        </w:rPr>
        <w:t>一是加强自驾游车辆运输专项服务。</w:t>
      </w:r>
      <w:r>
        <w:rPr>
          <w:rFonts w:hint="eastAsia" w:ascii="方正仿宋简体" w:hAnsi="方正仿宋简体" w:eastAsia="方正仿宋简体" w:cs="方正仿宋简体"/>
          <w:sz w:val="34"/>
          <w:szCs w:val="34"/>
        </w:rPr>
        <w:t>依托黄河楼、青铜古镇、黄河坛、鸽子山葡萄文化小镇、黄土地度假村等自驾车营地，通过完善自驾车住宿露营、休闲餐饮、信息服务、医疗与救援等服务功能，鼓励旅游租车企业发展，引进大型连锁汽车租赁企业，强化租车企业合作，建立完善的汽车租赁服务网点，满足自驾游客租车、异地还车服务，实现自驾旅游的无缝对接；</w:t>
      </w:r>
      <w:r>
        <w:rPr>
          <w:rFonts w:hint="eastAsia" w:ascii="方正仿宋简体" w:hAnsi="方正仿宋简体" w:eastAsia="方正仿宋简体" w:cs="方正仿宋简体"/>
          <w:b/>
          <w:bCs/>
          <w:sz w:val="34"/>
          <w:szCs w:val="34"/>
        </w:rPr>
        <w:t>二是打造自驾旅游专线。</w:t>
      </w:r>
      <w:r>
        <w:rPr>
          <w:rFonts w:hint="eastAsia" w:ascii="方正仿宋简体" w:hAnsi="方正仿宋简体" w:eastAsia="方正仿宋简体" w:cs="方正仿宋简体"/>
          <w:sz w:val="34"/>
          <w:szCs w:val="34"/>
        </w:rPr>
        <w:t>围绕</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三带一长廊”全域旅游空间布局，打造黄河休闲主题自驾旅游专线、牛首山工业休闲主题自驾旅游专线、乡村旅游体验主题自驾旅游专线和贺兰山东麓文化观光主题自驾旅游专线四大自驾车旅游游线路；</w:t>
      </w:r>
      <w:r>
        <w:rPr>
          <w:rFonts w:hint="eastAsia" w:ascii="方正仿宋简体" w:hAnsi="方正仿宋简体" w:eastAsia="方正仿宋简体" w:cs="方正仿宋简体"/>
          <w:b/>
          <w:bCs/>
          <w:sz w:val="34"/>
          <w:szCs w:val="34"/>
        </w:rPr>
        <w:t>三是完善自驾游信息服务系统。</w:t>
      </w:r>
      <w:r>
        <w:rPr>
          <w:rFonts w:hint="eastAsia" w:ascii="方正仿宋简体" w:hAnsi="方正仿宋简体" w:eastAsia="方正仿宋简体" w:cs="方正仿宋简体"/>
          <w:sz w:val="34"/>
          <w:szCs w:val="34"/>
        </w:rPr>
        <w:t>建立青铜峡自驾旅游综合服务系统，重点提供景区景点介绍、当地新闻、旅游线路推荐、综合旅游交通图、食宿预订、即时路况、气象信息、在线咨询服务、汽车租赁等服务。</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（四）</w:t>
      </w:r>
      <w:r>
        <w:rPr>
          <w:rFonts w:hint="eastAsia" w:ascii="方正楷体简体" w:hAnsi="方正楷体简体" w:eastAsia="方正楷体简体" w:cs="方正楷体简体"/>
          <w:b/>
          <w:bCs/>
          <w:sz w:val="34"/>
          <w:szCs w:val="34"/>
        </w:rPr>
        <w:t>旅游公共服务设施优化。</w:t>
      </w:r>
      <w:r>
        <w:rPr>
          <w:rFonts w:hint="eastAsia" w:ascii="方正仿宋简体" w:hAnsi="方正仿宋简体" w:eastAsia="方正仿宋简体" w:cs="方正仿宋简体"/>
          <w:sz w:val="34"/>
          <w:szCs w:val="34"/>
        </w:rPr>
        <w:t>一是认真贯彻全国“厕所革命”精神，分重点有序建设旅游厕所，重点建设接待人数较多的3A、2A级旅游景区、全市精品旅游线路以及重点乡村旅游点旅游厕所，完善升级4A级旅游景区厕所配套设施和服务标准，改造提升重要旅游交通干线上加油站、服务区旅游厕所；二是规划和完善旅游交通的指示和导引标识系统，注重旅游标识系统的主题化设计，重视标识系统建设的多语种、导向性、科普性、警示性、说明性和趣味性，形成完整易懂</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准确明显</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统一规划、统一风格的旅游标识系统；三是提高向导式解说服务，重点丰富青铜峡向导式解说服务的内容与形式，进一步纳入有关地方文化氛围、居民生活方式等方面的介绍和演示，提高趣味性和融入性，并完善自导式解说服务；四是建立绿色安全的运营体系与快速响应的应急体系，根据消费者疫情后新的生活方式，持续强化餐饮、环境等卫生安全工作，实现绿色休闲旅游消费。基于突发公共卫生事件，在消费群体、政府部门、经营企业等之间建立信息发布、动态监控、联防联控、应急响应等机制。</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80" w:name="_Toc6256"/>
      <w:r>
        <w:rPr>
          <w:rFonts w:hint="eastAsia" w:ascii="黑体" w:hAnsi="黑体" w:eastAsia="黑体" w:cs="黑体"/>
          <w:b w:val="0"/>
          <w:bCs/>
          <w:kern w:val="0"/>
          <w:sz w:val="34"/>
          <w:szCs w:val="34"/>
        </w:rPr>
        <w:t>第五节 科技赋能驱动文旅业态新变革</w:t>
      </w:r>
      <w:bookmarkEnd w:id="80"/>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强化科技赋能，推动互联网、大数据、云计算、人工智能、物联网、5G技术、VR/AR/MR等高新技术与文旅产业深度融合，提升文旅服务管理智慧化水平，全面提升文旅产业发展的科技含量，推动文旅产业转型升级、高质量发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81" w:name="_Toc12971"/>
      <w:bookmarkStart w:id="82" w:name="_Toc5502"/>
      <w:r>
        <w:rPr>
          <w:rFonts w:hint="eastAsia" w:ascii="方正黑体简体" w:hAnsi="方正黑体简体" w:eastAsia="方正黑体简体" w:cs="方正黑体简体"/>
          <w:b w:val="0"/>
          <w:bCs/>
          <w:sz w:val="34"/>
          <w:szCs w:val="34"/>
        </w:rPr>
        <w:t>一、推进文旅信息资源整合共享</w:t>
      </w:r>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firstLine="666"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w w:val="98"/>
          <w:sz w:val="34"/>
          <w:szCs w:val="34"/>
        </w:rPr>
        <w:t>优先开展5G在全市文旅产业中的应用，加强数据共享、功能完善，系统推进智慧旅游管理、智慧旅游服务、智慧旅游体验和智慧旅游营销，建设信息共建共享、宣传有机协同、服务全面有效的青铜峡智慧文旅公共服务体系。打造吴忠宜居宜游智慧旅游先行区和5G应用示范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83" w:name="_Toc11793"/>
      <w:bookmarkStart w:id="84" w:name="_Toc21619"/>
      <w:r>
        <w:rPr>
          <w:rFonts w:hint="eastAsia" w:ascii="方正黑体简体" w:hAnsi="方正黑体简体" w:eastAsia="方正黑体简体" w:cs="方正黑体简体"/>
          <w:b w:val="0"/>
          <w:bCs/>
          <w:sz w:val="34"/>
          <w:szCs w:val="34"/>
        </w:rPr>
        <w:t>二、推进文旅公共服务管理智慧化</w:t>
      </w:r>
      <w:bookmarkEnd w:id="83"/>
      <w:bookmarkEnd w:id="84"/>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（一）完善5G智慧旅游管理。</w:t>
      </w:r>
      <w:r>
        <w:rPr>
          <w:rFonts w:hint="eastAsia" w:ascii="方正仿宋简体" w:hAnsi="方正仿宋简体" w:eastAsia="方正仿宋简体" w:cs="方正仿宋简体"/>
          <w:sz w:val="34"/>
          <w:szCs w:val="34"/>
        </w:rPr>
        <w:t>依托青铜峡旅游大数据中心和旅游数据平台的融合，整合全市交通、住建、工商、国土、人社等涉旅部门的数据资源，推进景区、交通、客群等涉旅数据的接入。运用5G前置化场景捕捉技能，建立容量管理、应急管理、安防管理、电子票务、视频监控等系统，实现统计、监控、调控等管理功能，助力企业数据共享和智慧营销。</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（二）优化5G智慧旅游服务。</w:t>
      </w:r>
      <w:r>
        <w:rPr>
          <w:rFonts w:hint="eastAsia" w:ascii="方正仿宋简体" w:hAnsi="方正仿宋简体" w:eastAsia="方正仿宋简体" w:cs="方正仿宋简体"/>
          <w:sz w:val="34"/>
          <w:szCs w:val="34"/>
        </w:rPr>
        <w:t>以“一部手机逛宁夏”APP为基础信息服务平台，通过青铜峡官网、官微及时准确发布旅游信息，植入全轨迹、全媒体的</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5</w:t>
      </w:r>
      <w:r>
        <w:rPr>
          <w:rFonts w:hint="eastAsia" w:ascii="方正仿宋简体" w:hAnsi="方正仿宋简体" w:eastAsia="方正仿宋简体" w:cs="方正仿宋简体"/>
          <w:sz w:val="34"/>
          <w:szCs w:val="34"/>
          <w:lang w:val="en-US" w:eastAsia="zh-CN"/>
        </w:rPr>
        <w:t>G</w:t>
      </w:r>
      <w:r>
        <w:rPr>
          <w:rFonts w:hint="eastAsia" w:ascii="方正仿宋简体" w:hAnsi="方正仿宋简体" w:eastAsia="方正仿宋简体" w:cs="方正仿宋简体"/>
          <w:b/>
          <w:bCs/>
          <w:sz w:val="34"/>
          <w:szCs w:val="34"/>
          <w:lang w:val="en-US" w:eastAsia="zh-CN"/>
        </w:rPr>
        <w:t>+</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社交分享功能，提供交互式旅游信息咨询服务；整合区域所有涉旅企业，陆续将旅游产品排版上线。建立青铜峡旅游VR宣传片，强化智慧旅游宣传；建立线下5G+AI旅游服务、AR辅助讲解、AI游记助手等旅游服务体系。</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w:t>
      </w:r>
      <w:r>
        <w:rPr>
          <w:rFonts w:hint="eastAsia" w:ascii="方正楷体简体" w:hAnsi="方正楷体简体" w:eastAsia="方正楷体简体" w:cs="方正楷体简体"/>
          <w:b/>
          <w:bCs/>
          <w:sz w:val="34"/>
          <w:szCs w:val="34"/>
        </w:rPr>
        <w:t>增加5G智慧旅游体验。</w:t>
      </w:r>
      <w:r>
        <w:rPr>
          <w:rFonts w:hint="eastAsia" w:ascii="方正仿宋简体" w:hAnsi="方正仿宋简体" w:eastAsia="方正仿宋简体" w:cs="方正仿宋简体"/>
          <w:sz w:val="34"/>
          <w:szCs w:val="34"/>
        </w:rPr>
        <w:t>打造5G文化旅游产业全覆盖，加强旅游公共服务智慧化体验；打造包含智慧租车、智慧骑行、智慧标识导向、停车引导于一体的智慧交通便捷服务体系；加强旅游业态智慧化体验，以宾馆饭店、景区景点、乡村民宿为主体，推广景区刷脸入园、酒店30秒入住，饭店智能点餐等覆盖范围，增设AR交通导览、AR互动、云端支付等体验功能；鼓励将5G+全景直播、5G+AR慧眼等沉浸式体验功能应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85" w:name="_Toc12181"/>
      <w:bookmarkStart w:id="86" w:name="_Toc27969"/>
      <w:r>
        <w:rPr>
          <w:rFonts w:hint="eastAsia" w:ascii="方正黑体简体" w:hAnsi="方正黑体简体" w:eastAsia="方正黑体简体" w:cs="方正黑体简体"/>
          <w:b w:val="0"/>
          <w:bCs/>
          <w:sz w:val="34"/>
          <w:szCs w:val="34"/>
        </w:rPr>
        <w:t>三、推动文旅宣传营销智慧化</w:t>
      </w:r>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一是建设全市统一的宣传营销数据库，基于互联网、两微</w:t>
      </w:r>
      <w:r>
        <w:rPr>
          <w:rFonts w:hint="eastAsia" w:ascii="方正仿宋简体" w:hAnsi="方正仿宋简体" w:eastAsia="方正仿宋简体" w:cs="方正仿宋简体"/>
          <w:sz w:val="34"/>
          <w:szCs w:val="34"/>
          <w:highlight w:val="none"/>
        </w:rPr>
        <w:t>一</w:t>
      </w:r>
      <w:r>
        <w:rPr>
          <w:rFonts w:hint="eastAsia" w:ascii="方正仿宋简体" w:hAnsi="方正仿宋简体" w:eastAsia="方正仿宋简体" w:cs="方正仿宋简体"/>
          <w:sz w:val="34"/>
          <w:szCs w:val="34"/>
          <w:highlight w:val="none"/>
          <w:lang w:eastAsia="zh-CN"/>
        </w:rPr>
        <w:t>端</w:t>
      </w:r>
      <w:r>
        <w:rPr>
          <w:rFonts w:hint="eastAsia" w:ascii="方正仿宋简体" w:hAnsi="方正仿宋简体" w:eastAsia="方正仿宋简体" w:cs="方正仿宋简体"/>
          <w:sz w:val="34"/>
          <w:szCs w:val="34"/>
          <w:highlight w:val="none"/>
        </w:rPr>
        <w:t>、短视频、VR全景等新技术、新渠道，建立全市文旅网络</w:t>
      </w:r>
      <w:r>
        <w:rPr>
          <w:rFonts w:hint="eastAsia" w:ascii="方正仿宋简体" w:hAnsi="方正仿宋简体" w:eastAsia="方正仿宋简体" w:cs="方正仿宋简体"/>
          <w:sz w:val="34"/>
          <w:szCs w:val="34"/>
        </w:rPr>
        <w:t>营销体系。二是建立与完善全市文旅系统自媒体营销矩阵，借力网络文旅自媒体大V，组建市文旅自媒体营销联盟。三是针对主要客源市场的区域、人群、消费能力等属性进行市场细分，利用大数据对营销目的地进行定位分析、需求分析、营销内容分析，制定智慧营销策略，提高网络化营销精准化水平。</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hint="eastAsia" w:ascii="黑体" w:hAnsi="黑体" w:eastAsia="黑体" w:cs="黑体"/>
          <w:b w:val="0"/>
          <w:bCs/>
          <w:kern w:val="0"/>
          <w:sz w:val="34"/>
          <w:szCs w:val="34"/>
        </w:rPr>
      </w:pPr>
      <w:bookmarkStart w:id="87" w:name="_Toc6660"/>
      <w:r>
        <w:rPr>
          <w:rFonts w:hint="eastAsia" w:ascii="黑体" w:hAnsi="黑体" w:eastAsia="黑体" w:cs="黑体"/>
          <w:b w:val="0"/>
          <w:bCs/>
          <w:kern w:val="0"/>
          <w:sz w:val="34"/>
          <w:szCs w:val="34"/>
        </w:rPr>
        <w:t>第六节 IP引领形成旅游品牌宣传新力度</w:t>
      </w:r>
      <w:bookmarkEnd w:id="87"/>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88" w:name="_Toc29405"/>
      <w:bookmarkStart w:id="89" w:name="_Toc23477"/>
      <w:r>
        <w:rPr>
          <w:rFonts w:hint="eastAsia" w:ascii="方正黑体简体" w:hAnsi="方正黑体简体" w:eastAsia="方正黑体简体" w:cs="方正黑体简体"/>
          <w:b w:val="0"/>
          <w:bCs/>
          <w:sz w:val="34"/>
          <w:szCs w:val="34"/>
        </w:rPr>
        <w:t>一、</w:t>
      </w:r>
      <w:bookmarkEnd w:id="88"/>
      <w:r>
        <w:rPr>
          <w:rFonts w:hint="eastAsia" w:ascii="方正黑体简体" w:hAnsi="方正黑体简体" w:eastAsia="方正黑体简体" w:cs="方正黑体简体"/>
          <w:b w:val="0"/>
          <w:bCs/>
          <w:sz w:val="34"/>
          <w:szCs w:val="34"/>
        </w:rPr>
        <w:t>以黄河文化为核心，构建旅游品牌体系</w:t>
      </w:r>
      <w:bookmarkEnd w:id="89"/>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（一）塑造黄河文化核心IP品牌。</w:t>
      </w:r>
      <w:r>
        <w:rPr>
          <w:rFonts w:hint="eastAsia" w:ascii="方正仿宋简体" w:hAnsi="方正仿宋简体" w:eastAsia="方正仿宋简体" w:cs="方正仿宋简体"/>
          <w:sz w:val="34"/>
          <w:szCs w:val="34"/>
        </w:rPr>
        <w:t>围绕青铜峡“印象黄河，彩虹之上”文化旅游品牌形象，打造品牌形象识别系统，推出“五个一”系列形象推广载体，即一个标识、一句口号、一部宣传片、一</w:t>
      </w:r>
      <w:r>
        <w:rPr>
          <w:rFonts w:hint="eastAsia" w:ascii="方正仿宋简体" w:hAnsi="方正仿宋简体" w:eastAsia="方正仿宋简体" w:cs="方正仿宋简体"/>
          <w:sz w:val="34"/>
          <w:szCs w:val="34"/>
          <w:highlight w:val="none"/>
        </w:rPr>
        <w:t>套V</w:t>
      </w:r>
      <w:r>
        <w:rPr>
          <w:rFonts w:hint="eastAsia" w:ascii="方正仿宋简体" w:hAnsi="方正仿宋简体" w:eastAsia="方正仿宋简体" w:cs="方正仿宋简体"/>
          <w:sz w:val="34"/>
          <w:szCs w:val="34"/>
          <w:highlight w:val="none"/>
          <w:lang w:val="en-US" w:eastAsia="zh-CN"/>
        </w:rPr>
        <w:t>R</w:t>
      </w:r>
      <w:r>
        <w:rPr>
          <w:rFonts w:hint="eastAsia" w:ascii="方正仿宋简体" w:hAnsi="方正仿宋简体" w:eastAsia="方正仿宋简体" w:cs="方正仿宋简体"/>
          <w:sz w:val="34"/>
          <w:szCs w:val="34"/>
          <w:highlight w:val="none"/>
        </w:rPr>
        <w:t>系统、一组特色宣传品，建设青铜峡旅游形象推广系统</w:t>
      </w:r>
      <w:r>
        <w:rPr>
          <w:rFonts w:hint="eastAsia" w:ascii="方正仿宋简体" w:hAnsi="方正仿宋简体" w:eastAsia="方正仿宋简体" w:cs="方正仿宋简体"/>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（二）强化IP共享推动跨界联动。</w:t>
      </w:r>
      <w:r>
        <w:rPr>
          <w:rFonts w:hint="eastAsia" w:ascii="方正仿宋简体" w:hAnsi="方正仿宋简体" w:eastAsia="方正仿宋简体" w:cs="方正仿宋简体"/>
          <w:sz w:val="34"/>
          <w:szCs w:val="34"/>
        </w:rPr>
        <w:t>围绕IP衍生一系列产业环节和新生业态。推进IP共享，以备案授权的方式免费给全市各部门、各企业、各景区使用，将IP要素与农产品、文创商品结合，助推一二三</w:t>
      </w:r>
      <w:r>
        <w:rPr>
          <w:rFonts w:hint="eastAsia" w:ascii="方正仿宋简体" w:hAnsi="方正仿宋简体" w:eastAsia="方正仿宋简体" w:cs="方正仿宋简体"/>
          <w:sz w:val="34"/>
          <w:szCs w:val="34"/>
          <w:lang w:val="en-US" w:eastAsia="zh-CN"/>
        </w:rPr>
        <w:t>产业</w:t>
      </w:r>
      <w:bookmarkStart w:id="99" w:name="_GoBack"/>
      <w:bookmarkEnd w:id="99"/>
      <w:r>
        <w:rPr>
          <w:rFonts w:hint="eastAsia" w:ascii="方正仿宋简体" w:hAnsi="方正仿宋简体" w:eastAsia="方正仿宋简体" w:cs="方正仿宋简体"/>
          <w:sz w:val="34"/>
          <w:szCs w:val="34"/>
        </w:rPr>
        <w:t>融合发展。打造品质诚信IP文创商品，围绕IP延伸故事、场景和主题，开发文创日用品、旅游纪念品、IP商品。</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（三）构建产业要素IP矩阵。</w:t>
      </w:r>
      <w:r>
        <w:rPr>
          <w:rFonts w:hint="eastAsia" w:ascii="方正仿宋简体" w:hAnsi="方正仿宋简体" w:eastAsia="方正仿宋简体" w:cs="方正仿宋简体"/>
          <w:sz w:val="34"/>
          <w:szCs w:val="34"/>
        </w:rPr>
        <w:t>挖掘青铜峡特色餐饮资源，打造文化餐饮品牌IP；丰富住宿要素，构建集酒店、民宿、营地于一体的多种住宿体系，打造网红民宿IP；深挖青铜峡特色食品、手工艺品，培育知名旅游商品品牌，培育旅游商品IP；积极拓展青铜峡夜游产品、特色街区、文化商圈等文化产品，通过品牌形象营销、活动组织，打造品质玩乐IP，形成景区、美食、住宿、购物、玩乐五大IP子品牌。</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仿宋简体" w:hAnsi="方正仿宋简体" w:eastAsia="方正仿宋简体" w:cs="方正仿宋简体"/>
          <w:b/>
          <w:sz w:val="34"/>
          <w:szCs w:val="34"/>
        </w:rPr>
      </w:pPr>
      <w:bookmarkStart w:id="90" w:name="_Toc27092"/>
      <w:r>
        <w:rPr>
          <w:rFonts w:hint="eastAsia" w:ascii="方正黑体简体" w:hAnsi="方正黑体简体" w:eastAsia="方正黑体简体" w:cs="方正黑体简体"/>
          <w:b w:val="0"/>
          <w:bCs/>
          <w:sz w:val="34"/>
          <w:szCs w:val="34"/>
        </w:rPr>
        <w:t>二、以节事活动为载体，完善文旅互动体系</w:t>
      </w:r>
      <w:bookmarkEnd w:id="90"/>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（一）培育构建核心品牌节事系列。</w:t>
      </w:r>
      <w:r>
        <w:rPr>
          <w:rFonts w:hint="eastAsia" w:ascii="方正仿宋简体" w:hAnsi="方正仿宋简体" w:eastAsia="方正仿宋简体" w:cs="方正仿宋简体"/>
          <w:sz w:val="34"/>
          <w:szCs w:val="34"/>
        </w:rPr>
        <w:t>高水准举办农民丰收节、文化旅游节、民俗文化节等文化节庆活动，将其打造成为宁夏文化体验目的地IP品牌印记，提升青铜峡在西北的知名度和美誉度。推出不同主题“青铜峡旅游周”“青铜峡旅游月”等节事活动，通过旅游推广、文化演出、媒体宣传、图片展览四大活动达到“感受青铜峡旅游魅力”的宣传目的。</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（二）积极承办更具影响力的品牌活动。</w:t>
      </w:r>
      <w:r>
        <w:rPr>
          <w:rFonts w:hint="eastAsia" w:ascii="方正仿宋简体" w:hAnsi="方正仿宋简体" w:eastAsia="方正仿宋简体" w:cs="方正仿宋简体"/>
          <w:sz w:val="34"/>
          <w:szCs w:val="34"/>
        </w:rPr>
        <w:t>以奥体中心为依托，积极争取主办、承办或创办各种大型的、具有全国影响力的各类体育竞赛活动，举办国家级以上赛事每年3次以上、自治区级赛事每年4次以上。以黄河大峡谷、青秀园休闲体育公园、冰球馆等为依托，大力发展冰雪、休闲健步等项目，举办冰雪嘉年华、休闲趣味运动会等赛事活动，全市每年开展全民健身活动20次以上。以牛首山、贺兰山葡萄基地为依托，推动户外休闲、山地旅游等运动发展，开展登山徒步、大众骑行、专业级公路山地自行车、汽车越野、户外攀岩等赛事活动，开展和创建更多的“一地一品牌”体育活动。</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2"/>
        <w:rPr>
          <w:rFonts w:hint="eastAsia" w:ascii="方正黑体简体" w:hAnsi="方正黑体简体" w:eastAsia="方正黑体简体" w:cs="方正黑体简体"/>
          <w:b w:val="0"/>
          <w:bCs/>
          <w:sz w:val="34"/>
          <w:szCs w:val="34"/>
        </w:rPr>
      </w:pPr>
      <w:bookmarkStart w:id="91" w:name="_Toc853"/>
      <w:r>
        <w:rPr>
          <w:rFonts w:hint="eastAsia" w:ascii="方正黑体简体" w:hAnsi="方正黑体简体" w:eastAsia="方正黑体简体" w:cs="方正黑体简体"/>
          <w:b w:val="0"/>
          <w:bCs/>
          <w:sz w:val="34"/>
          <w:szCs w:val="34"/>
        </w:rPr>
        <w:t>三、以新媒体为主要方式，拓展营销渠道</w:t>
      </w:r>
      <w:bookmarkEnd w:id="91"/>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（一）</w:t>
      </w:r>
      <w:r>
        <w:rPr>
          <w:rFonts w:hint="eastAsia" w:ascii="方正楷体简体" w:hAnsi="方正楷体简体" w:eastAsia="方正楷体简体" w:cs="方正楷体简体"/>
          <w:b/>
          <w:bCs/>
          <w:sz w:val="34"/>
          <w:szCs w:val="34"/>
        </w:rPr>
        <w:t>注重新媒体营销。</w:t>
      </w:r>
      <w:r>
        <w:rPr>
          <w:rFonts w:hint="eastAsia" w:ascii="方正仿宋简体" w:hAnsi="方正仿宋简体" w:eastAsia="方正仿宋简体" w:cs="方正仿宋简体"/>
          <w:sz w:val="34"/>
          <w:szCs w:val="34"/>
        </w:rPr>
        <w:t>加强与中央媒体、宁夏及周边等主要客源地媒体联系，不间断地进行旅游营销宣传报道。加强携程、途牛、美团等各类OTA电商平台合作，推广青铜峡旅游线路产品。充分利用抖音、快手、微博各类社交媒体、智能搜索引擎等网络新技术、新手段，大幅增加青铜峡旅游线上信息量，强化旅游网络营销力度，提高网络营销效果。</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方正仿宋简体" w:hAnsi="方正仿宋简体" w:eastAsia="方正仿宋简体" w:cs="方正仿宋简体"/>
          <w:sz w:val="34"/>
          <w:szCs w:val="34"/>
        </w:rPr>
      </w:pPr>
      <w:r>
        <w:rPr>
          <w:rFonts w:hint="eastAsia" w:ascii="方正楷体简体" w:hAnsi="方正楷体简体" w:eastAsia="方正楷体简体" w:cs="方正楷体简体"/>
          <w:b/>
          <w:bCs/>
          <w:sz w:val="34"/>
          <w:szCs w:val="34"/>
          <w:lang w:eastAsia="zh-CN"/>
        </w:rPr>
        <w:t>（二）加强智慧营销。</w:t>
      </w:r>
      <w:r>
        <w:rPr>
          <w:rFonts w:hint="eastAsia" w:ascii="方正仿宋简体" w:hAnsi="方正仿宋简体" w:eastAsia="方正仿宋简体" w:cs="方正仿宋简体"/>
          <w:sz w:val="34"/>
          <w:szCs w:val="34"/>
        </w:rPr>
        <w:t>创新网络虚拟化体验营销、现实情景化体验营销等多种智慧化体验营销手段，充分利用青铜峡旅游大数据中心，优先在景区试点性开展智慧旅游营销，用“互联网+”理念与智慧化营销促进青铜峡旅游市场拓展。</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仿宋_GB2312" w:eastAsia="仿宋_GB2312" w:cs="仿宋_GB2312"/>
          <w:color w:val="FF0000"/>
          <w:sz w:val="32"/>
          <w:szCs w:val="32"/>
        </w:rPr>
      </w:pPr>
      <w:r>
        <w:rPr>
          <w:rFonts w:hint="eastAsia" w:ascii="方正楷体简体" w:hAnsi="方正楷体简体" w:eastAsia="方正楷体简体" w:cs="方正楷体简体"/>
          <w:b/>
          <w:bCs/>
          <w:sz w:val="34"/>
          <w:szCs w:val="34"/>
          <w:lang w:eastAsia="zh-CN"/>
        </w:rPr>
        <w:t>（三）加强影视营销。</w:t>
      </w:r>
      <w:r>
        <w:rPr>
          <w:rFonts w:hint="eastAsia" w:ascii="方正仿宋简体" w:hAnsi="方正仿宋简体" w:eastAsia="方正仿宋简体" w:cs="方正仿宋简体"/>
          <w:sz w:val="34"/>
          <w:szCs w:val="34"/>
        </w:rPr>
        <w:t>与吴忠、银川等地方知名媒体建立合作关系，开展推介营销活动；制作风光片、宣传册页等，在旅游饭店、公共场所散发，全方位、立体化推介旅游产品。积极参与地域文化旅游合作，重点推进青铜峡与其他周边县、市（区）文化旅游合作，实现旅游资源、游客和信息互动共享。与宁夏及外省市电视台洽谈旅游类、体育节目的外景合作，以宣传青铜峡旅游。邀请国内外有影响力的新闻记者、专栏作家等到青铜峡采风踩线；邀请社会名流、明星前来度假，利用名人效应扩大旅游影响力。</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rPr>
        <w:sectPr>
          <w:headerReference r:id="rId11" w:type="default"/>
          <w:pgSz w:w="11906" w:h="16838"/>
          <w:pgMar w:top="1440" w:right="1800" w:bottom="1440" w:left="1800" w:header="851" w:footer="992" w:gutter="0"/>
          <w:pgNumType w:fmt="numberInDash"/>
          <w:cols w:space="720" w:num="1"/>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snapToGrid/>
        <w:spacing w:before="156" w:beforeLines="50" w:after="156" w:afterLines="50" w:line="560" w:lineRule="exact"/>
        <w:jc w:val="center"/>
        <w:textAlignment w:val="auto"/>
        <w:outlineLvl w:val="0"/>
        <w:rPr>
          <w:rFonts w:ascii="Times New Roman" w:hAnsi="Times New Roman" w:eastAsia="黑体" w:cs="Times New Roman"/>
          <w:b/>
          <w:kern w:val="0"/>
          <w:sz w:val="36"/>
          <w:szCs w:val="36"/>
        </w:rPr>
      </w:pPr>
      <w:bookmarkStart w:id="92" w:name="_Toc29416"/>
      <w:r>
        <w:rPr>
          <w:rFonts w:ascii="Times New Roman" w:hAnsi="Times New Roman" w:eastAsia="黑体" w:cs="Times New Roman"/>
          <w:b/>
          <w:kern w:val="0"/>
          <w:sz w:val="36"/>
          <w:szCs w:val="36"/>
        </w:rPr>
        <w:t>第五章 深化改革，完善旅游发展保障体系</w:t>
      </w:r>
      <w:bookmarkEnd w:id="92"/>
    </w:p>
    <w:p>
      <w:pPr>
        <w:pStyle w:val="2"/>
        <w:keepNext w:val="0"/>
        <w:keepLines w:val="0"/>
        <w:pageBreakBefore w:val="0"/>
        <w:widowControl w:val="0"/>
        <w:kinsoku/>
        <w:wordWrap/>
        <w:overflowPunct/>
        <w:topLinePunct w:val="0"/>
        <w:autoSpaceDE w:val="0"/>
        <w:autoSpaceDN w:val="0"/>
        <w:bidi w:val="0"/>
        <w:adjustRightInd/>
        <w:snapToGrid/>
        <w:spacing w:line="520" w:lineRule="exact"/>
        <w:jc w:val="center"/>
        <w:textAlignment w:val="auto"/>
        <w:outlineLvl w:val="1"/>
        <w:rPr>
          <w:rFonts w:ascii="Times New Roman" w:hAnsi="Times New Roman" w:eastAsia="黑体" w:cs="Times New Roman"/>
          <w:b w:val="0"/>
          <w:bCs/>
          <w:kern w:val="0"/>
          <w:sz w:val="34"/>
          <w:szCs w:val="34"/>
        </w:rPr>
      </w:pPr>
      <w:bookmarkStart w:id="93" w:name="_Toc6365"/>
      <w:r>
        <w:rPr>
          <w:rFonts w:ascii="Times New Roman" w:hAnsi="Times New Roman" w:eastAsia="黑体" w:cs="Times New Roman"/>
          <w:b w:val="0"/>
          <w:bCs/>
          <w:kern w:val="0"/>
          <w:sz w:val="34"/>
          <w:szCs w:val="34"/>
        </w:rPr>
        <w:t>第一节 强化组织领导和协调</w:t>
      </w:r>
      <w:bookmarkEnd w:id="93"/>
    </w:p>
    <w:p>
      <w:pPr>
        <w:keepNext w:val="0"/>
        <w:keepLines w:val="0"/>
        <w:pageBreakBefore w:val="0"/>
        <w:widowControl w:val="0"/>
        <w:kinsoku/>
        <w:wordWrap/>
        <w:overflowPunct/>
        <w:topLinePunct w:val="0"/>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由青铜峡市全域旅游工作委员会统一领导，整合相关职能部门、各街道办事处以及社会力量，强化领导和工作统筹，形成旅游建设的强大合力。加强与</w:t>
      </w:r>
      <w:r>
        <w:rPr>
          <w:rFonts w:hint="eastAsia" w:ascii="方正仿宋简体" w:hAnsi="方正仿宋简体" w:eastAsia="方正仿宋简体" w:cs="方正仿宋简体"/>
          <w:sz w:val="34"/>
          <w:szCs w:val="34"/>
          <w:lang w:val="en-US" w:eastAsia="zh-CN"/>
        </w:rPr>
        <w:t>自治区</w:t>
      </w:r>
      <w:r>
        <w:rPr>
          <w:rFonts w:hint="eastAsia" w:ascii="方正仿宋简体" w:hAnsi="方正仿宋简体" w:eastAsia="方正仿宋简体" w:cs="方正仿宋简体"/>
          <w:sz w:val="34"/>
          <w:szCs w:val="34"/>
        </w:rPr>
        <w:t>、</w:t>
      </w:r>
      <w:r>
        <w:rPr>
          <w:rFonts w:hint="eastAsia" w:ascii="方正仿宋简体" w:hAnsi="方正仿宋简体" w:eastAsia="方正仿宋简体" w:cs="方正仿宋简体"/>
          <w:sz w:val="34"/>
          <w:szCs w:val="34"/>
          <w:lang w:val="en-US" w:eastAsia="zh-CN"/>
        </w:rPr>
        <w:t>吴忠市</w:t>
      </w:r>
      <w:r>
        <w:rPr>
          <w:rFonts w:hint="eastAsia" w:ascii="方正仿宋简体" w:hAnsi="方正仿宋简体" w:eastAsia="方正仿宋简体" w:cs="方正仿宋简体"/>
          <w:sz w:val="34"/>
          <w:szCs w:val="34"/>
        </w:rPr>
        <w:t>各有关部门的衔接，密切配合，建立高效有序的协调联动运行机制，依据规划目标、任务和各项措施，制定年度工作计划和任务分解表，挂图作战、倒排工期、建账销号、严格监督考核，对发现的不足和问题，及时结合实际情况开展研讨修正与目标任务优化，确保本规划确定的目标和任务落到实处。</w:t>
      </w:r>
    </w:p>
    <w:p>
      <w:pPr>
        <w:pStyle w:val="2"/>
        <w:keepNext w:val="0"/>
        <w:keepLines w:val="0"/>
        <w:pageBreakBefore w:val="0"/>
        <w:widowControl w:val="0"/>
        <w:kinsoku/>
        <w:wordWrap/>
        <w:overflowPunct/>
        <w:topLinePunct w:val="0"/>
        <w:autoSpaceDE w:val="0"/>
        <w:autoSpaceDN w:val="0"/>
        <w:bidi w:val="0"/>
        <w:adjustRightInd/>
        <w:snapToGrid/>
        <w:spacing w:line="520" w:lineRule="exact"/>
        <w:jc w:val="center"/>
        <w:textAlignment w:val="auto"/>
        <w:outlineLvl w:val="1"/>
        <w:rPr>
          <w:rFonts w:ascii="Times New Roman" w:hAnsi="Times New Roman" w:eastAsia="黑体" w:cs="Times New Roman"/>
          <w:b w:val="0"/>
          <w:bCs/>
          <w:kern w:val="0"/>
          <w:sz w:val="34"/>
          <w:szCs w:val="34"/>
        </w:rPr>
      </w:pPr>
      <w:bookmarkStart w:id="94" w:name="_Toc3615"/>
      <w:r>
        <w:rPr>
          <w:rFonts w:ascii="Times New Roman" w:hAnsi="Times New Roman" w:eastAsia="黑体" w:cs="Times New Roman"/>
          <w:b w:val="0"/>
          <w:bCs/>
          <w:kern w:val="0"/>
          <w:sz w:val="34"/>
          <w:szCs w:val="34"/>
        </w:rPr>
        <w:t>第二节 强化规划管理</w:t>
      </w:r>
      <w:bookmarkEnd w:id="94"/>
    </w:p>
    <w:p>
      <w:pPr>
        <w:keepNext w:val="0"/>
        <w:keepLines w:val="0"/>
        <w:pageBreakBefore w:val="0"/>
        <w:widowControl w:val="0"/>
        <w:kinsoku/>
        <w:wordWrap/>
        <w:overflowPunct/>
        <w:topLinePunct w:val="0"/>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将文化旅游发展和规划理念融入经济社会发展全局，将文化旅游资源与其他资源合理配置，科学编制旅游发展规划，科学设计发展路线。协调</w:t>
      </w:r>
      <w:r>
        <w:rPr>
          <w:rFonts w:hint="eastAsia" w:ascii="方正仿宋简体" w:hAnsi="方正仿宋简体" w:eastAsia="方正仿宋简体" w:cs="方正仿宋简体"/>
          <w:sz w:val="34"/>
          <w:szCs w:val="34"/>
          <w:lang w:val="en-US" w:eastAsia="zh-CN"/>
        </w:rPr>
        <w:t>青铜峡</w:t>
      </w:r>
      <w:r>
        <w:rPr>
          <w:rFonts w:hint="eastAsia" w:ascii="方正仿宋简体" w:hAnsi="方正仿宋简体" w:eastAsia="方正仿宋简体" w:cs="方正仿宋简体"/>
          <w:sz w:val="34"/>
          <w:szCs w:val="34"/>
        </w:rPr>
        <w:t>市属有关部门，推进“多规合一”的规划工作机制，将旅游功能区建设与城乡建设、土地利用、生态环境保护同步规划，实行“统规共建”。加强文旅项目源头管理，防止同质化建设。建立文旅项目准入机制、负面清单制度、预评估机制和依法退出机制，确保高质量发展。</w:t>
      </w:r>
    </w:p>
    <w:p>
      <w:pPr>
        <w:pStyle w:val="2"/>
        <w:keepNext w:val="0"/>
        <w:keepLines w:val="0"/>
        <w:pageBreakBefore w:val="0"/>
        <w:widowControl w:val="0"/>
        <w:kinsoku/>
        <w:wordWrap/>
        <w:overflowPunct/>
        <w:topLinePunct w:val="0"/>
        <w:autoSpaceDE w:val="0"/>
        <w:autoSpaceDN w:val="0"/>
        <w:bidi w:val="0"/>
        <w:adjustRightInd/>
        <w:snapToGrid/>
        <w:spacing w:line="520" w:lineRule="exact"/>
        <w:jc w:val="center"/>
        <w:textAlignment w:val="auto"/>
        <w:outlineLvl w:val="1"/>
        <w:rPr>
          <w:rFonts w:ascii="Times New Roman" w:hAnsi="Times New Roman" w:eastAsia="黑体" w:cs="Times New Roman"/>
          <w:b w:val="0"/>
          <w:bCs/>
          <w:kern w:val="0"/>
          <w:sz w:val="34"/>
          <w:szCs w:val="34"/>
        </w:rPr>
      </w:pPr>
      <w:bookmarkStart w:id="95" w:name="_Toc26982"/>
      <w:r>
        <w:rPr>
          <w:rFonts w:ascii="Times New Roman" w:hAnsi="Times New Roman" w:eastAsia="黑体" w:cs="Times New Roman"/>
          <w:b w:val="0"/>
          <w:bCs/>
          <w:kern w:val="0"/>
          <w:sz w:val="34"/>
          <w:szCs w:val="34"/>
        </w:rPr>
        <w:t>第三节 完善政策保障</w:t>
      </w:r>
      <w:bookmarkEnd w:id="95"/>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lang w:eastAsia="zh-CN"/>
        </w:rPr>
        <w:t>一、</w:t>
      </w:r>
      <w:r>
        <w:rPr>
          <w:rFonts w:hint="eastAsia" w:ascii="方正黑体简体" w:hAnsi="方正黑体简体" w:eastAsia="方正黑体简体" w:cs="方正黑体简体"/>
          <w:b w:val="0"/>
          <w:bCs w:val="0"/>
          <w:sz w:val="34"/>
          <w:szCs w:val="34"/>
        </w:rPr>
        <w:t>继续强化财政政策引导</w:t>
      </w:r>
    </w:p>
    <w:p>
      <w:pPr>
        <w:keepNext w:val="0"/>
        <w:keepLines w:val="0"/>
        <w:pageBreakBefore w:val="0"/>
        <w:widowControl w:val="0"/>
        <w:kinsoku/>
        <w:wordWrap/>
        <w:overflowPunct/>
        <w:topLinePunct w:val="0"/>
        <w:autoSpaceDE/>
        <w:autoSpaceDN/>
        <w:bidi w:val="0"/>
        <w:adjustRightInd/>
        <w:snapToGrid/>
        <w:spacing w:line="520" w:lineRule="exact"/>
        <w:ind w:firstLine="666" w:firstLineChars="200"/>
        <w:textAlignment w:val="auto"/>
        <w:rPr>
          <w:rFonts w:hint="eastAsia" w:ascii="方正仿宋简体" w:hAnsi="方正仿宋简体" w:eastAsia="方正仿宋简体" w:cs="方正仿宋简体"/>
          <w:w w:val="98"/>
          <w:sz w:val="34"/>
          <w:szCs w:val="34"/>
        </w:rPr>
      </w:pPr>
      <w:r>
        <w:rPr>
          <w:rFonts w:hint="eastAsia" w:ascii="方正仿宋简体" w:hAnsi="方正仿宋简体" w:eastAsia="方正仿宋简体" w:cs="方正仿宋简体"/>
          <w:w w:val="98"/>
          <w:sz w:val="34"/>
          <w:szCs w:val="34"/>
        </w:rPr>
        <w:t>落实国家、自治区和吴忠市支持文化旅游发展的政策措施，修订完善扶持文化旅游融合发展和高质量发展的政策措施。做好青铜峡市本级财政专项资金预算，争取国家各部门预算内投资安排专项资金，整合和高效使用有关财政专项资金，支持文化旅游相关的重点工作，充分发挥财政</w:t>
      </w:r>
      <w:r>
        <w:rPr>
          <w:rFonts w:hint="eastAsia" w:ascii="方正仿宋简体" w:hAnsi="方正仿宋简体" w:eastAsia="方正仿宋简体" w:cs="方正仿宋简体"/>
          <w:w w:val="98"/>
          <w:sz w:val="34"/>
          <w:szCs w:val="34"/>
          <w:lang w:eastAsia="zh-CN"/>
        </w:rPr>
        <w:t>资金</w:t>
      </w:r>
      <w:r>
        <w:rPr>
          <w:rFonts w:hint="eastAsia" w:ascii="方正仿宋简体" w:hAnsi="方正仿宋简体" w:eastAsia="方正仿宋简体" w:cs="方正仿宋简体"/>
          <w:w w:val="98"/>
          <w:sz w:val="34"/>
          <w:szCs w:val="34"/>
        </w:rPr>
        <w:t>“四两拨千斤”作用，撬动金融和社会资本向文化旅游产业领域投放。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80" w:firstLineChars="200"/>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lang w:eastAsia="zh-CN"/>
        </w:rPr>
        <w:t>二、</w:t>
      </w:r>
      <w:r>
        <w:rPr>
          <w:rFonts w:hint="eastAsia" w:ascii="方正黑体简体" w:hAnsi="方正黑体简体" w:eastAsia="方正黑体简体" w:cs="方正黑体简体"/>
          <w:b w:val="0"/>
          <w:bCs w:val="0"/>
          <w:sz w:val="34"/>
          <w:szCs w:val="34"/>
        </w:rPr>
        <w:t>放宽投资准入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落实招商引资政策，积极引进国内外知名文化旅游企业和有品牌带动力的企业进驻青铜峡。加强对民营和小微文旅企业的财政资金支持，大力吸引民间资本</w:t>
      </w:r>
      <w:r>
        <w:rPr>
          <w:rFonts w:hint="eastAsia" w:ascii="方正仿宋简体" w:hAnsi="方正仿宋简体" w:eastAsia="方正仿宋简体" w:cs="方正仿宋简体"/>
          <w:sz w:val="34"/>
          <w:szCs w:val="34"/>
          <w:lang w:eastAsia="zh-CN"/>
        </w:rPr>
        <w:t>、</w:t>
      </w:r>
      <w:r>
        <w:rPr>
          <w:rFonts w:hint="eastAsia" w:ascii="方正仿宋简体" w:hAnsi="方正仿宋简体" w:eastAsia="方正仿宋简体" w:cs="方正仿宋简体"/>
          <w:sz w:val="34"/>
          <w:szCs w:val="34"/>
        </w:rPr>
        <w:t>外资等多种形式的资本投入。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80" w:firstLineChars="200"/>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lang w:eastAsia="zh-CN"/>
        </w:rPr>
        <w:t>三、</w:t>
      </w:r>
      <w:r>
        <w:rPr>
          <w:rFonts w:hint="eastAsia" w:ascii="方正黑体简体" w:hAnsi="方正黑体简体" w:eastAsia="方正黑体简体" w:cs="方正黑体简体"/>
          <w:b w:val="0"/>
          <w:bCs w:val="0"/>
          <w:sz w:val="34"/>
          <w:szCs w:val="34"/>
        </w:rPr>
        <w:t>实施创新土地政策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积极保障旅游业发展用地供应，创新土地利用方式，争取在点状供地、国有储备用地利用、生态用地、公共服务设施用地等方面实现突破，依法实行用地分类管理制度，改革完善旅游用地管理制度，探索旅游项目用地差别化管理新模式。有效落实旅游重点项目新增建设用地，对符合相关规划的旅游项目，优先安排新增用地计划指标，鼓励以长期租赁、先租后让、租让结合方式供应旅游项目建设用地，以降低旅游项目开发初期用地成本。针对旅游新业态用地特点，按照鼓励使用存量、规范使用增量的原则，依法明确文化、康养和旅游的用地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方正黑体简体" w:hAnsi="方正黑体简体" w:eastAsia="方正黑体简体" w:cs="方正黑体简体"/>
          <w:b w:val="0"/>
          <w:bCs w:val="0"/>
          <w:sz w:val="34"/>
          <w:szCs w:val="34"/>
          <w:lang w:eastAsia="zh-CN"/>
        </w:rPr>
      </w:pPr>
      <w:r>
        <w:rPr>
          <w:rFonts w:hint="eastAsia" w:ascii="方正黑体简体" w:hAnsi="方正黑体简体" w:eastAsia="方正黑体简体" w:cs="方正黑体简体"/>
          <w:b w:val="0"/>
          <w:bCs w:val="0"/>
          <w:sz w:val="34"/>
          <w:szCs w:val="34"/>
          <w:lang w:eastAsia="zh-CN"/>
        </w:rPr>
        <w:t>四、加大财税金融扶持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制定旅游业发展的优惠政策，对于市域内旅游项目建设提供财政贴息、税费减免等优惠政策。对于符合青铜峡旅游发展的旅游项目，加大融资授信支持，合理确定贷款期限和贷款利率；符合条件的旅游企业可享受中小企业贷款优惠政策；进一步完善旅游企业融资担保等信用增强体系，加大各类信用担保机构对旅游企业和旅游项目的担保力度；严格落实国家、自治区和吴忠市各项旅游投资税费优惠政策，探索采取定额税办法降低税额标准，鼓励企业投资旅游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方正黑体简体" w:hAnsi="方正黑体简体" w:eastAsia="方正黑体简体" w:cs="方正黑体简体"/>
          <w:b w:val="0"/>
          <w:bCs w:val="0"/>
          <w:sz w:val="34"/>
          <w:szCs w:val="34"/>
        </w:rPr>
      </w:pPr>
      <w:r>
        <w:rPr>
          <w:rFonts w:hint="eastAsia" w:ascii="方正黑体简体" w:hAnsi="方正黑体简体" w:eastAsia="方正黑体简体" w:cs="方正黑体简体"/>
          <w:b w:val="0"/>
          <w:bCs w:val="0"/>
          <w:sz w:val="34"/>
          <w:szCs w:val="34"/>
          <w:lang w:eastAsia="zh-CN"/>
        </w:rPr>
        <w:t>五、</w:t>
      </w:r>
      <w:r>
        <w:rPr>
          <w:rFonts w:hint="eastAsia" w:ascii="方正黑体简体" w:hAnsi="方正黑体简体" w:eastAsia="方正黑体简体" w:cs="方正黑体简体"/>
          <w:b w:val="0"/>
          <w:bCs w:val="0"/>
          <w:sz w:val="34"/>
          <w:szCs w:val="34"/>
        </w:rPr>
        <w:t>持续优化营商环境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推进“放管服”改革，落实好优化营商环境“1+13”行动计划，加快实现“马上办、网上办、一次办”，让数据多跑路，让企业少跑腿。深化市级领导干部及部门联系服务企业机制，推行一站式、全程代办制服务，用好“企业服务110”系统，切实解决项目落地手续办理、产业融合推进、企业生产经营遇到的问题。强化社会信用体系建设，持续深化扫黑除恶专项斗争，严厉打击黑恶势力，构建公平正义、规范有序的市场秩序，维护投资人的根本利益，保障企业家的合法权益，营造良好的营商环境。</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outlineLvl w:val="1"/>
        <w:rPr>
          <w:rFonts w:ascii="Times New Roman" w:hAnsi="Times New Roman" w:eastAsia="黑体" w:cs="Times New Roman"/>
          <w:b w:val="0"/>
          <w:bCs/>
          <w:kern w:val="0"/>
          <w:sz w:val="34"/>
          <w:szCs w:val="34"/>
        </w:rPr>
      </w:pPr>
      <w:bookmarkStart w:id="96" w:name="_Toc5405"/>
      <w:r>
        <w:rPr>
          <w:rFonts w:ascii="Times New Roman" w:hAnsi="Times New Roman" w:eastAsia="黑体" w:cs="Times New Roman"/>
          <w:b w:val="0"/>
          <w:bCs/>
          <w:kern w:val="0"/>
          <w:sz w:val="34"/>
          <w:szCs w:val="34"/>
        </w:rPr>
        <w:t>第四节 做足人才保障</w:t>
      </w:r>
      <w:bookmarkEnd w:id="96"/>
    </w:p>
    <w:p>
      <w:pPr>
        <w:keepNext w:val="0"/>
        <w:keepLines w:val="0"/>
        <w:pageBreakBefore w:val="0"/>
        <w:widowControl w:val="0"/>
        <w:kinsoku/>
        <w:wordWrap/>
        <w:overflowPunct/>
        <w:topLinePunct w:val="0"/>
        <w:autoSpaceDE/>
        <w:autoSpaceDN/>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贯彻落实自治区《关于实施人才强区工程助推创新驱动发展战略的意见》，制定旅游人才培训计划，完善旅游人才和从业人员教育、培训体系。强化对政府行政领导的旅游业务知识培训，提高行政领导的旅游意识和抓旅游工作的能力。借助市外旅游院校的办学优势，推动青铜峡市旅游企业与宁夏大学旅游学院等教育科研机构深入开展产学研战略合作，加快高、中级旅游管理人才和实用人才的培养。对旅游管理者、经营者和从业人员进行培训，特别要重点培养一批优秀导游。引导企业积极引进旅游经营、管理、营销、策划等各类人才，建立规范的人才选拔、培养、任用机制和优胜劣汰机制。加强对公民，尤其是出租车司机、导游等窗口服务人员的社会公德和职业道德、职业纪律、职业技能的培训教育，提高文明素质。</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20" w:lineRule="exact"/>
        <w:jc w:val="center"/>
        <w:textAlignment w:val="auto"/>
        <w:outlineLvl w:val="1"/>
        <w:rPr>
          <w:rFonts w:ascii="Times New Roman" w:hAnsi="Times New Roman" w:eastAsia="黑体" w:cs="Times New Roman"/>
          <w:b w:val="0"/>
          <w:bCs/>
          <w:kern w:val="0"/>
          <w:sz w:val="34"/>
          <w:szCs w:val="34"/>
        </w:rPr>
      </w:pPr>
      <w:bookmarkStart w:id="97" w:name="_Toc19780"/>
      <w:r>
        <w:rPr>
          <w:rFonts w:ascii="Times New Roman" w:hAnsi="Times New Roman" w:eastAsia="黑体" w:cs="Times New Roman"/>
          <w:b w:val="0"/>
          <w:bCs/>
          <w:kern w:val="0"/>
          <w:sz w:val="34"/>
          <w:szCs w:val="34"/>
        </w:rPr>
        <w:t>第五节 坚持依法治旅</w:t>
      </w:r>
      <w:bookmarkEnd w:id="97"/>
    </w:p>
    <w:p>
      <w:pPr>
        <w:keepNext w:val="0"/>
        <w:keepLines w:val="0"/>
        <w:pageBreakBefore w:val="0"/>
        <w:widowControl w:val="0"/>
        <w:kinsoku/>
        <w:wordWrap/>
        <w:overflowPunct/>
        <w:topLinePunct w:val="0"/>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认真贯彻落实国家、</w:t>
      </w:r>
      <w:r>
        <w:rPr>
          <w:rFonts w:hint="eastAsia" w:ascii="方正仿宋简体" w:hAnsi="方正仿宋简体" w:eastAsia="方正仿宋简体" w:cs="方正仿宋简体"/>
          <w:sz w:val="34"/>
          <w:szCs w:val="34"/>
          <w:lang w:val="en-US" w:eastAsia="zh-CN"/>
        </w:rPr>
        <w:t>自治区</w:t>
      </w:r>
      <w:r>
        <w:rPr>
          <w:rFonts w:hint="eastAsia" w:ascii="方正仿宋简体" w:hAnsi="方正仿宋简体" w:eastAsia="方正仿宋简体" w:cs="方正仿宋简体"/>
          <w:sz w:val="34"/>
          <w:szCs w:val="34"/>
        </w:rPr>
        <w:t>有关法律法规，进一步加大旅游联合执法力度，建立由旅游、公安、卫生、工商、交通、质量技术监督等部门相互协调配合的旅游联合执法机制。加强对旅游行业和从业人员的教育培训及管理，加强对旅游市场的整治和水上安全的管理，打击非法经营，保障游客和旅游经营者的合法权益和人身安全，树立青铜峡规范、安全、健康旅游目的地的良好形象。</w:t>
      </w:r>
    </w:p>
    <w:p>
      <w:pPr>
        <w:pStyle w:val="2"/>
        <w:keepNext w:val="0"/>
        <w:keepLines w:val="0"/>
        <w:pageBreakBefore w:val="0"/>
        <w:widowControl w:val="0"/>
        <w:kinsoku/>
        <w:wordWrap/>
        <w:overflowPunct/>
        <w:topLinePunct w:val="0"/>
        <w:autoSpaceDE w:val="0"/>
        <w:autoSpaceDN w:val="0"/>
        <w:bidi w:val="0"/>
        <w:adjustRightInd/>
        <w:snapToGrid/>
        <w:spacing w:before="157" w:beforeLines="50" w:after="157" w:afterLines="50" w:line="520" w:lineRule="exact"/>
        <w:jc w:val="center"/>
        <w:textAlignment w:val="auto"/>
        <w:outlineLvl w:val="1"/>
        <w:rPr>
          <w:rFonts w:ascii="Times New Roman" w:hAnsi="Times New Roman" w:eastAsia="黑体" w:cs="Times New Roman"/>
          <w:b w:val="0"/>
          <w:bCs/>
          <w:kern w:val="0"/>
          <w:sz w:val="32"/>
          <w:szCs w:val="32"/>
        </w:rPr>
      </w:pPr>
      <w:bookmarkStart w:id="98" w:name="_Toc22302"/>
      <w:r>
        <w:rPr>
          <w:rFonts w:ascii="Times New Roman" w:hAnsi="Times New Roman" w:eastAsia="黑体" w:cs="Times New Roman"/>
          <w:b w:val="0"/>
          <w:bCs/>
          <w:kern w:val="0"/>
          <w:sz w:val="34"/>
          <w:szCs w:val="34"/>
        </w:rPr>
        <w:t>第六节 加强区域联合，实施资源共享</w:t>
      </w:r>
      <w:bookmarkEnd w:id="98"/>
    </w:p>
    <w:p>
      <w:pPr>
        <w:keepNext w:val="0"/>
        <w:keepLines w:val="0"/>
        <w:pageBreakBefore w:val="0"/>
        <w:widowControl w:val="0"/>
        <w:kinsoku/>
        <w:wordWrap/>
        <w:overflowPunct/>
        <w:topLinePunct w:val="0"/>
        <w:bidi w:val="0"/>
        <w:adjustRightInd/>
        <w:snapToGrid/>
        <w:spacing w:line="520" w:lineRule="exact"/>
        <w:ind w:firstLine="680" w:firstLineChars="200"/>
        <w:textAlignment w:val="auto"/>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加强与周边县市之间旅游线路的连接与贯通，加强区域合作，有计划、有步骤地进行客源互送，确实做到资源共享和客源共享。</w:t>
      </w: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rPr>
          <w:rFonts w:hint="eastAsia"/>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440" w:lineRule="exact"/>
        <w:textAlignment w:val="baseline"/>
        <w:rPr>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青铜峡市人民政府办公室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26</w:t>
      </w:r>
      <w:r>
        <w:rPr>
          <w:rFonts w:hint="eastAsia" w:ascii="方正仿宋_GBK" w:hAnsi="方正仿宋_GBK" w:eastAsia="方正仿宋_GBK" w:cs="方正仿宋_GBK"/>
          <w:sz w:val="28"/>
          <w:szCs w:val="28"/>
        </w:rPr>
        <w:t>日印发</w:t>
      </w:r>
    </w:p>
    <w:sectPr>
      <w:footerReference r:id="rId12"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pStyle w:val="9"/>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0"/>
      </w:pBdr>
      <w:jc w:val="righ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目 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rPr>
        <w:rFonts w:hint="eastAsia"/>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rPr>
        <w:rFonts w:hint="default" w:ascii="Times New Roman" w:hAnsi="Times New Roman" w:eastAsia="仿宋" w:cs="Times New Roman"/>
        <w:sz w:val="24"/>
        <w:szCs w:val="24"/>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hint="default" w:ascii="Times New Roman" w:hAnsi="Times New Roman" w:eastAsia="仿宋" w:cs="Times New Roman"/>
        <w:sz w:val="24"/>
        <w:szCs w:val="24"/>
        <w:lang w:val="en-US" w:eastAsia="zh-CN"/>
      </w:rPr>
    </w:pPr>
  </w:p>
  <w:p>
    <w:pPr>
      <w:pStyle w:val="10"/>
      <w:pBdr>
        <w:bottom w:val="none" w:color="auto" w:sz="0" w:space="0"/>
      </w:pBdr>
      <w:jc w:val="both"/>
      <w:rPr>
        <w:rFonts w:hint="default" w:ascii="Times New Roman" w:hAnsi="Times New Roman" w:eastAsia="仿宋" w:cs="Times New Roman"/>
        <w:sz w:val="24"/>
        <w:szCs w:val="24"/>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F84DD1"/>
    <w:multiLevelType w:val="singleLevel"/>
    <w:tmpl w:val="64F84DD1"/>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ZDkzYTY3YmNiOGZhMmE1NzA1Njc1NjNiMjZkODgifQ=="/>
  </w:docVars>
  <w:rsids>
    <w:rsidRoot w:val="1B78293C"/>
    <w:rsid w:val="003D42BA"/>
    <w:rsid w:val="0076034F"/>
    <w:rsid w:val="00E645F8"/>
    <w:rsid w:val="01636E9E"/>
    <w:rsid w:val="019259A3"/>
    <w:rsid w:val="025B2DC4"/>
    <w:rsid w:val="02C33A00"/>
    <w:rsid w:val="0303774B"/>
    <w:rsid w:val="05AC0EB5"/>
    <w:rsid w:val="062949ED"/>
    <w:rsid w:val="08DD1607"/>
    <w:rsid w:val="0A313B59"/>
    <w:rsid w:val="0C456D5D"/>
    <w:rsid w:val="0F177A0B"/>
    <w:rsid w:val="0F205179"/>
    <w:rsid w:val="1085072E"/>
    <w:rsid w:val="114C7D6F"/>
    <w:rsid w:val="11C121DF"/>
    <w:rsid w:val="152226D4"/>
    <w:rsid w:val="1697518A"/>
    <w:rsid w:val="17CE491C"/>
    <w:rsid w:val="195B003D"/>
    <w:rsid w:val="1B78293C"/>
    <w:rsid w:val="1BA52201"/>
    <w:rsid w:val="1C167321"/>
    <w:rsid w:val="1C7F1177"/>
    <w:rsid w:val="1D0C45BB"/>
    <w:rsid w:val="1DB86858"/>
    <w:rsid w:val="1EE461C3"/>
    <w:rsid w:val="1F3F30AB"/>
    <w:rsid w:val="1F767E2A"/>
    <w:rsid w:val="1FC32552"/>
    <w:rsid w:val="218542D9"/>
    <w:rsid w:val="21A05F05"/>
    <w:rsid w:val="276323A5"/>
    <w:rsid w:val="2E1E2A4F"/>
    <w:rsid w:val="30A92BCD"/>
    <w:rsid w:val="31623047"/>
    <w:rsid w:val="336C75AA"/>
    <w:rsid w:val="33E422A4"/>
    <w:rsid w:val="355E566D"/>
    <w:rsid w:val="360C2505"/>
    <w:rsid w:val="382A155F"/>
    <w:rsid w:val="39DE42CB"/>
    <w:rsid w:val="3C715B32"/>
    <w:rsid w:val="3E3F207E"/>
    <w:rsid w:val="3F650C5F"/>
    <w:rsid w:val="401B7D9A"/>
    <w:rsid w:val="407316D6"/>
    <w:rsid w:val="42C70B9E"/>
    <w:rsid w:val="44BC6C6A"/>
    <w:rsid w:val="455646E3"/>
    <w:rsid w:val="48445B0F"/>
    <w:rsid w:val="49427AFE"/>
    <w:rsid w:val="4977634A"/>
    <w:rsid w:val="4ABF5E9C"/>
    <w:rsid w:val="4B6B5956"/>
    <w:rsid w:val="4E6665FA"/>
    <w:rsid w:val="4EA94CD0"/>
    <w:rsid w:val="506C4ABB"/>
    <w:rsid w:val="5126300B"/>
    <w:rsid w:val="512778FF"/>
    <w:rsid w:val="526E2B42"/>
    <w:rsid w:val="52C2362D"/>
    <w:rsid w:val="55152341"/>
    <w:rsid w:val="557D2F4E"/>
    <w:rsid w:val="56A82ACE"/>
    <w:rsid w:val="5968382E"/>
    <w:rsid w:val="59E935D4"/>
    <w:rsid w:val="5A85154B"/>
    <w:rsid w:val="5E820624"/>
    <w:rsid w:val="5EA7433F"/>
    <w:rsid w:val="5FB13B7E"/>
    <w:rsid w:val="604563E4"/>
    <w:rsid w:val="60901B69"/>
    <w:rsid w:val="60D27FF1"/>
    <w:rsid w:val="60EF12D3"/>
    <w:rsid w:val="61150B1F"/>
    <w:rsid w:val="61CC605D"/>
    <w:rsid w:val="62EC329F"/>
    <w:rsid w:val="63342914"/>
    <w:rsid w:val="642B1DB3"/>
    <w:rsid w:val="64D36B55"/>
    <w:rsid w:val="65831B89"/>
    <w:rsid w:val="685A26E8"/>
    <w:rsid w:val="6A3D6CF8"/>
    <w:rsid w:val="6B7F489C"/>
    <w:rsid w:val="6CC7306F"/>
    <w:rsid w:val="6EB801B6"/>
    <w:rsid w:val="72E1624C"/>
    <w:rsid w:val="74382DEB"/>
    <w:rsid w:val="765F6D1E"/>
    <w:rsid w:val="775A324F"/>
    <w:rsid w:val="77946223"/>
    <w:rsid w:val="77A55F03"/>
    <w:rsid w:val="77F2017E"/>
    <w:rsid w:val="789B158A"/>
    <w:rsid w:val="793D1879"/>
    <w:rsid w:val="7BAA66A5"/>
    <w:rsid w:val="7BD402CB"/>
    <w:rsid w:val="7BE56079"/>
    <w:rsid w:val="7D711A9F"/>
    <w:rsid w:val="7E2F5A08"/>
    <w:rsid w:val="7E4910CD"/>
    <w:rsid w:val="BFBDADE2"/>
    <w:rsid w:val="C3F3774C"/>
    <w:rsid w:val="D7BB6C70"/>
    <w:rsid w:val="F7AF8310"/>
    <w:rsid w:val="FFFDC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7"/>
    <w:qFormat/>
    <w:uiPriority w:val="9"/>
    <w:pPr>
      <w:keepNext/>
      <w:keepLines/>
      <w:spacing w:line="240" w:lineRule="auto"/>
      <w:ind w:firstLine="0" w:firstLineChars="0"/>
      <w:jc w:val="center"/>
      <w:outlineLvl w:val="0"/>
    </w:pPr>
    <w:rPr>
      <w:b/>
      <w:bCs/>
      <w:kern w:val="44"/>
      <w:sz w:val="36"/>
      <w:szCs w:val="44"/>
    </w:rPr>
  </w:style>
  <w:style w:type="paragraph" w:styleId="5">
    <w:name w:val="heading 2"/>
    <w:basedOn w:val="1"/>
    <w:next w:val="1"/>
    <w:link w:val="16"/>
    <w:unhideWhenUsed/>
    <w:qFormat/>
    <w:uiPriority w:val="9"/>
    <w:pPr>
      <w:keepNext/>
      <w:keepLines/>
      <w:spacing w:before="50" w:beforeLines="50" w:after="50" w:afterLines="50" w:line="240" w:lineRule="auto"/>
      <w:outlineLvl w:val="1"/>
    </w:pPr>
    <w:rPr>
      <w:rFonts w:ascii="Cambria" w:hAnsi="Cambria" w:cs="Times New Roman"/>
      <w:b/>
      <w:bCs/>
      <w:sz w:val="32"/>
      <w:szCs w:val="32"/>
    </w:rPr>
  </w:style>
  <w:style w:type="paragraph" w:styleId="6">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autoRedefine/>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5"/>
    <w:basedOn w:val="1"/>
    <w:next w:val="1"/>
    <w:autoRedefine/>
    <w:qFormat/>
    <w:uiPriority w:val="0"/>
    <w:pPr>
      <w:ind w:firstLine="0" w:firstLineChars="0"/>
    </w:pPr>
  </w:style>
  <w:style w:type="paragraph" w:styleId="7">
    <w:name w:val="annotation text"/>
    <w:basedOn w:val="1"/>
    <w:autoRedefine/>
    <w:qFormat/>
    <w:uiPriority w:val="0"/>
    <w:pPr>
      <w:jc w:val="left"/>
    </w:pPr>
  </w:style>
  <w:style w:type="paragraph" w:styleId="8">
    <w:name w:val="toc 3"/>
    <w:basedOn w:val="1"/>
    <w:next w:val="1"/>
    <w:autoRedefine/>
    <w:unhideWhenUsed/>
    <w:qFormat/>
    <w:uiPriority w:val="39"/>
    <w:pPr>
      <w:ind w:left="840" w:leftChars="400"/>
    </w:pPr>
    <w:rPr>
      <w:sz w:val="24"/>
    </w:rPr>
  </w:style>
  <w:style w:type="paragraph" w:styleId="9">
    <w:name w:val="footer"/>
    <w:basedOn w:val="1"/>
    <w:next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pPr>
      <w:tabs>
        <w:tab w:val="right" w:leader="dot" w:pos="8296"/>
      </w:tabs>
      <w:spacing w:line="360" w:lineRule="auto"/>
    </w:pPr>
    <w:rPr>
      <w:rFonts w:ascii="宋体" w:hAnsi="宋体" w:eastAsia="宋体" w:cs="仿宋_GB2312"/>
      <w:b/>
      <w:kern w:val="0"/>
      <w:sz w:val="28"/>
      <w:szCs w:val="28"/>
    </w:rPr>
  </w:style>
  <w:style w:type="paragraph" w:styleId="12">
    <w:name w:val="toc 2"/>
    <w:basedOn w:val="1"/>
    <w:next w:val="1"/>
    <w:autoRedefine/>
    <w:unhideWhenUsed/>
    <w:qFormat/>
    <w:uiPriority w:val="39"/>
    <w:pPr>
      <w:ind w:left="420" w:leftChars="200"/>
    </w:pPr>
    <w:rPr>
      <w:sz w:val="28"/>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 Char"/>
    <w:basedOn w:val="15"/>
    <w:link w:val="5"/>
    <w:autoRedefine/>
    <w:qFormat/>
    <w:uiPriority w:val="9"/>
    <w:rPr>
      <w:rFonts w:ascii="Cambria" w:hAnsi="Cambria" w:cs="Times New Roman"/>
      <w:b/>
      <w:bCs/>
      <w:sz w:val="32"/>
      <w:szCs w:val="32"/>
    </w:rPr>
  </w:style>
  <w:style w:type="character" w:customStyle="1" w:styleId="17">
    <w:name w:val="标题 1 字符"/>
    <w:basedOn w:val="15"/>
    <w:link w:val="4"/>
    <w:autoRedefine/>
    <w:qFormat/>
    <w:uiPriority w:val="9"/>
    <w:rPr>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1672;&#35810;&#39033;&#30446;&#25253;&#21578;\2020&#24180;&#39033;&#30446;\&#38738;&#38108;&#23777;&#25991;&#21270;&#12289;&#26053;&#28216;&#20135;&#19994;&#21313;&#22235;&#20116;&#35268;&#21010;\&#38738;&#38108;&#23777;&#25991;&#21270;&#26053;&#28216;&#20307;&#32946;&#24191;&#30005;&#23616;&#21313;&#22235;&#20116;&#36164;&#26009;\&#21313;&#19977;&#20116;&#32479;&#35745;&#25968;&#25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p>
      </c:txPr>
    </c:title>
    <c:autoTitleDeleted val="0"/>
    <c:plotArea>
      <c:layout/>
      <c:barChart>
        <c:barDir val="col"/>
        <c:grouping val="clustered"/>
        <c:varyColors val="0"/>
        <c:ser>
          <c:idx val="0"/>
          <c:order val="0"/>
          <c:tx>
            <c:strRef>
              <c:f>[十三五统计数据.xls]Sheet1!$B$6</c:f>
              <c:strCache>
                <c:ptCount val="1"/>
                <c:pt idx="0">
                  <c:v>接待游客数量（万人次）</c:v>
                </c:pt>
              </c:strCache>
            </c:strRef>
          </c:tx>
          <c:spPr>
            <a:solidFill>
              <a:srgbClr val="4F81BD"/>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[十三五统计数据.xls]Sheet1!$C$5:$G$5</c:f>
              <c:strCache>
                <c:ptCount val="5"/>
                <c:pt idx="0">
                  <c:v>2016年</c:v>
                </c:pt>
                <c:pt idx="1">
                  <c:v>2017年</c:v>
                </c:pt>
                <c:pt idx="2">
                  <c:v>2018年</c:v>
                </c:pt>
                <c:pt idx="3">
                  <c:v>2019年</c:v>
                </c:pt>
                <c:pt idx="4">
                  <c:v>2020年</c:v>
                </c:pt>
              </c:strCache>
            </c:strRef>
          </c:cat>
          <c:val>
            <c:numRef>
              <c:f>[十三五统计数据.xls]Sheet1!$C$6:$G$6</c:f>
              <c:numCache>
                <c:formatCode>General</c:formatCode>
                <c:ptCount val="5"/>
                <c:pt idx="0">
                  <c:v>247</c:v>
                </c:pt>
                <c:pt idx="1">
                  <c:v>274.9</c:v>
                </c:pt>
                <c:pt idx="2">
                  <c:v>300</c:v>
                </c:pt>
                <c:pt idx="3">
                  <c:v>218.75</c:v>
                </c:pt>
                <c:pt idx="4">
                  <c:v>132</c:v>
                </c:pt>
              </c:numCache>
            </c:numRef>
          </c:val>
        </c:ser>
        <c:dLbls>
          <c:showLegendKey val="0"/>
          <c:showVal val="0"/>
          <c:showCatName val="0"/>
          <c:showSerName val="0"/>
          <c:showPercent val="0"/>
          <c:showBubbleSize val="0"/>
        </c:dLbls>
        <c:gapWidth val="219"/>
        <c:overlap val="-27"/>
        <c:axId val="278667334"/>
        <c:axId val="606761442"/>
      </c:barChart>
      <c:catAx>
        <c:axId val="278667334"/>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06761442"/>
        <c:crosses val="autoZero"/>
        <c:auto val="1"/>
        <c:lblAlgn val="ctr"/>
        <c:lblOffset val="100"/>
        <c:noMultiLvlLbl val="0"/>
      </c:catAx>
      <c:valAx>
        <c:axId val="60676144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7866733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25664</Words>
  <Characters>25995</Characters>
  <Lines>0</Lines>
  <Paragraphs>0</Paragraphs>
  <TotalTime>3</TotalTime>
  <ScaleCrop>false</ScaleCrop>
  <LinksUpToDate>false</LinksUpToDate>
  <CharactersWithSpaces>26275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2022-12-15T02:17:00Z</dcterms:created>
  <dc:creator>ding</dc:creator>
  <cp:lastModifiedBy>鲜衣怒马少年郎</cp:lastModifiedBy>
  <cp:lastPrinted>2023-08-31T02:07:00Z</cp:lastPrinted>
  <dcterms:modified xsi:type="dcterms:W3CDTF">2024-01-17T13:01:38Z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838C7F532324425B8080329148E1E33A_13</vt:lpwstr>
  </property>
</Properties>
</file>