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160"/>
          <w:w w:val="90"/>
          <w:kern w:val="20"/>
          <w:sz w:val="110"/>
          <w:szCs w:val="110"/>
        </w:rPr>
      </w:pPr>
    </w:p>
    <w:p>
      <w:pPr>
        <w:jc w:val="left"/>
        <w:rPr>
          <w:rFonts w:hint="eastAsia" w:ascii="仿宋_GB2312" w:eastAsia="仿宋_GB2312"/>
          <w:color w:val="FF0000"/>
          <w:spacing w:val="-40"/>
          <w:sz w:val="28"/>
        </w:rPr>
      </w:pPr>
    </w:p>
    <w:p>
      <w:pPr>
        <w:snapToGrid w:val="0"/>
        <w:spacing w:line="402" w:lineRule="atLeast"/>
        <w:ind w:left="0" w:leftChars="0" w:firstLine="0" w:firstLineChars="0"/>
        <w:jc w:val="center"/>
        <w:rPr>
          <w:rFonts w:hint="eastAsia" w:ascii="方正仿宋_GBK" w:eastAsia="方正仿宋_GBK"/>
          <w:sz w:val="32"/>
          <w:lang w:eastAsia="zh-CN"/>
        </w:rPr>
      </w:pPr>
      <w:bookmarkStart w:id="0" w:name="bianhao"/>
      <w:bookmarkEnd w:id="0"/>
      <w:r>
        <w:rPr>
          <w:rFonts w:hint="eastAsia" w:ascii="方正仿宋_GBK" w:eastAsia="方正仿宋_GBK"/>
          <w:sz w:val="32"/>
          <w:szCs w:val="32"/>
        </w:rPr>
        <w:t>青政发〔</w:t>
      </w:r>
      <w:r>
        <w:rPr>
          <w:rFonts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snapToGrid/>
        <w:spacing w:line="365" w:lineRule="atLeast"/>
        <w:rPr>
          <w:rFonts w:ascii="方正楷体_GBK" w:eastAsia="方正楷体_GBK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青铜峡市人民政府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关于印发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left="0" w:leftChars="0" w:right="0" w:rightChars="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ascii="方正小标宋_GBK" w:hAnsi="方正小标宋_GBK" w:eastAsia="方正小标宋_GBK" w:cs="方正小标宋_GBK"/>
          <w:sz w:val="44"/>
          <w:szCs w:val="44"/>
          <w:lang w:val="zh-CN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  <w:t>年政府工作报告任务分工方案</w:t>
      </w:r>
      <w:r>
        <w:rPr>
          <w:rFonts w:hint="eastAsia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各镇人民政府、裕民街道办事处、农林场，市直各部门、企事业单位，驻青区属、吴属单位：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2022年是实施“十四五”规划、全面建设社会主义现代化国家的重要一年。为确保市第十三次党代会精神，以及市第十六届人民代表大会第一次会议安排部署的2022年全市经济社会高质量发展各项任务落实到位，现将《2022年政府工作报告任务分工方案》印发给你们，请认真抓好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9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cs="方正仿宋_GBK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青铜峡市人民政府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372" w:firstLineChars="17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2022年1月17日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</w:pPr>
      <w:r>
        <w:rPr>
          <w:rFonts w:ascii="方正小标宋_GBK" w:hAnsi="方正小标宋_GBK" w:eastAsia="方正小标宋_GBK" w:cs="方正小标宋_GBK"/>
          <w:sz w:val="44"/>
          <w:szCs w:val="44"/>
          <w:lang w:val="zh-CN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  <w:t>年政府工作报告任务分工方案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黑体_GBK" w:hAnsi="方正黑体_GBK" w:eastAsia="方正黑体_GBK" w:cs="方正黑体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一、主要经济社会发展指标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地区生产总值增长8%以上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市直各部门和各镇、街道、农林场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地方一般公共预算收入增长12%以上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吴文彪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税务局、市直相关部门和各镇、街道、农林场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auto"/>
          <w:spacing w:val="0"/>
        </w:rPr>
        <w:t>社会消费品零售总额增长8%</w:t>
      </w:r>
      <w:r>
        <w:rPr>
          <w:rFonts w:hint="eastAsia" w:ascii="方正仿宋_GBK" w:hAnsi="方正仿宋_GBK" w:eastAsia="方正仿宋_GBK" w:cs="方正仿宋_GBK"/>
          <w:color w:val="auto"/>
          <w:spacing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196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责任领导：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196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牵头单位：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市商务和投资促进局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196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配合单位：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市发展和改革局、工业和信息化局、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市场监督管理局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、财政局、文化旅游体育广电局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0" w:firstLineChars="196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完成时限：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Cs/>
          <w:color w:val="auto"/>
          <w:spacing w:val="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bCs/>
          <w:color w:val="auto"/>
          <w:spacing w:val="0"/>
        </w:rPr>
        <w:t>城乡居民人均可支配收入分别增长</w:t>
      </w:r>
      <w:r>
        <w:rPr>
          <w:rFonts w:hint="eastAsia" w:ascii="方正仿宋_GBK" w:hAnsi="方正仿宋_GBK" w:eastAsia="方正仿宋_GBK" w:cs="方正仿宋_GBK"/>
          <w:color w:val="auto"/>
          <w:spacing w:val="0"/>
        </w:rPr>
        <w:t>8%、9%</w:t>
      </w:r>
      <w:r>
        <w:rPr>
          <w:rFonts w:hint="eastAsia" w:ascii="方正仿宋_GBK" w:hAnsi="方正仿宋_GBK" w:eastAsia="方正仿宋_GBK" w:cs="方正仿宋_GBK"/>
          <w:bCs/>
          <w:color w:val="auto"/>
          <w:spacing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贺怡、王成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市人力资源和社会保障局、农业农村局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市财政局、民政局、自然资源局等有关部门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和各镇、街道、农林场</w:t>
      </w:r>
    </w:p>
    <w:p>
      <w:pPr>
        <w:keepNext w:val="0"/>
        <w:keepLines w:val="0"/>
        <w:pageBreakBefore w:val="0"/>
        <w:widowControl w:val="0"/>
        <w:tabs>
          <w:tab w:val="left" w:pos="72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3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城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镇调查失业率控制在5.5%以内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贺怡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市直相关部门和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各镇、街道、农林场</w:t>
      </w:r>
    </w:p>
    <w:p>
      <w:pPr>
        <w:keepNext w:val="0"/>
        <w:keepLines w:val="0"/>
        <w:pageBreakBefore w:val="0"/>
        <w:widowControl w:val="0"/>
        <w:tabs>
          <w:tab w:val="left" w:pos="72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3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完成自治区下达能耗“双控”目标任务。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zh-CN"/>
        </w:rPr>
        <w:t>工业园区管委会、市工业和信息化局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和各镇、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街道、农林场</w:t>
      </w:r>
    </w:p>
    <w:p>
      <w:pPr>
        <w:keepNext w:val="0"/>
        <w:keepLines w:val="0"/>
        <w:pageBreakBefore w:val="0"/>
        <w:widowControl w:val="0"/>
        <w:tabs>
          <w:tab w:val="left" w:pos="72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3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黑体_GBK" w:hAnsi="方正黑体_GBK" w:eastAsia="方正黑体_GBK" w:cs="方正黑体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二、主要工作任务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改革创新再突破。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紧盯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重点领域，深化“放管服”改革，优化营商环境，深入推进“互联网+政务服务”和审批服务便民化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发展和改革局、审批服务管理局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市直各部门和各镇、街道、农林场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深化投融资改革，组建城乡建设领域和葡萄酒产业投资公司，切实发挥先行区建设、九大重点产业基金引导功能，带动社会资本共同参与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eastAsia="zh-CN"/>
        </w:rPr>
        <w:t>吴文彪、王成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eastAsia="zh-CN"/>
        </w:rPr>
        <w:t>财政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t>局、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eastAsia="zh-CN"/>
        </w:rPr>
        <w:t>住房和城乡建设局、葡萄酒产业服务中心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t>市直各部门和各镇、街道、农林场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none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推进旅游景区经营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管理体制改革，成立青铜峡文化旅游投资公司，实现黄河楼、黄河坛、黄河大峡谷“建管运”一体化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吴文彪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市文化旅游体育广电局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市直相关部门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、国有资产经营管理公司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深化国企改革，强化国有资产监管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吴文彪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财政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古峡担保公司、青铜峡市产业基金管理有限公司、宁夏金岸明珠国有资本投资运营有限公司、青铜峡市国有资产经营管理公司等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推进新时代教育督导体制机制和教育评价改革，建立完善促进学生全面发展为中心的教育督导评价体系标准。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贺怡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教育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市直相关部门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加快用水权改革，投资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3.3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亿元实施水资源节约集约利用智能监控等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个项目，农田灌溉水有效利用系数达到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0.535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，工业用水重复利用率达到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95%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市</w:t>
      </w:r>
      <w:r>
        <w:rPr>
          <w:rFonts w:hint="eastAsia" w:ascii="方正仿宋_GBK" w:hAnsi="方正仿宋_GBK" w:cs="方正仿宋_GBK"/>
          <w:sz w:val="32"/>
          <w:szCs w:val="32"/>
          <w:lang w:val="zh-CN"/>
        </w:rPr>
        <w:t>工业和信息化局、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农业农村局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和各镇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加快土地权改革，推动闲置宅基地退出复垦，推进贺兰山、牛首山国土综合整治，力争完成土地指标跨省交易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万亩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亿元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cs="方正仿宋_GBK"/>
          <w:b w:val="0"/>
          <w:bCs w:val="0"/>
          <w:color w:val="000000"/>
          <w:sz w:val="32"/>
          <w:szCs w:val="32"/>
          <w:lang w:val="zh-CN"/>
        </w:rPr>
        <w:t>市农业农村局、市直相关部门和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各镇、农林场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14.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加快排污权改革，完成固定污染源排污许可清理整顿，规范排污权有偿使用和市场交易，探索开展碳排放交易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吴忠市生态环境局青铜峡分局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市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发改局、财政局、市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直相关部门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加快山林权改革，推进社会化造林、以林养林，森林覆盖率达到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16%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，经果林承包经营权确权登记率达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50%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市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zh-CN"/>
        </w:rPr>
        <w:t>财政局、农业农村局、市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直相关部门和各镇、农林场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-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16.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-1"/>
          <w:sz w:val="32"/>
          <w14:textFill>
            <w14:solidFill>
              <w14:schemeClr w14:val="tx1"/>
            </w14:solidFill>
          </w14:textFill>
        </w:rPr>
        <w:t>紧盯科技创新，推进与华中科技、天津科技大学深度合作，打造一批面向产业企业的研发设计、创业孵化、认证评价等技术转化平台，实施鼎辉科技制备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-1"/>
          <w:sz w:val="32"/>
          <w14:textFill>
            <w14:solidFill>
              <w14:schemeClr w14:val="tx1"/>
            </w14:solidFill>
          </w14:textFill>
        </w:rPr>
        <w:t>5N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-1"/>
          <w:sz w:val="32"/>
          <w14:textFill>
            <w14:solidFill>
              <w14:schemeClr w14:val="tx1"/>
            </w14:solidFill>
          </w14:textFill>
        </w:rPr>
        <w:t>级高纯锌材料技术研究等研发项目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-1"/>
          <w:sz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-1"/>
          <w:sz w:val="32"/>
          <w14:textFill>
            <w14:solidFill>
              <w14:schemeClr w14:val="tx1"/>
            </w14:solidFill>
          </w14:textFill>
        </w:rPr>
        <w:t>个以上，新增国家级高新技术企业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-1"/>
          <w:sz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-1"/>
          <w:sz w:val="32"/>
          <w14:textFill>
            <w14:solidFill>
              <w14:schemeClr w14:val="tx1"/>
            </w14:solidFill>
          </w14:textFill>
        </w:rPr>
        <w:t>家、新建科创平台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-1"/>
          <w:sz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-1"/>
          <w:sz w:val="32"/>
          <w14:textFill>
            <w14:solidFill>
              <w14:schemeClr w14:val="tx1"/>
            </w14:solidFill>
          </w14:textFill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工业园区管委会、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工业和信息化局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项目建设再发力。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坚持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处级领导主抓主盯，重点项目设立专班，完善协调推进机制，扎实做好193个计划投资103亿元基本建设项目前期，3月底前开复工率达到50%以上，6月底前达到90%以上，推动牛首山抽水蓄能、华梦新材料等重点项目建设取得关键进展，固定资产投资增长8%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发展和改革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市直各部门和各镇、街道、农林场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按序时进度推进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18.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紧盯先行区建设、乡村振兴等产业政策和投资导向，抓实项目入库统计，抓紧项目谋划储备，全力争取2亿元新增债券支持乡村振兴、现代化生态灌区量测水设施等项目建设，推动5亿元新备案青铝、国能大坝分布式光伏发电等新能源项目尽快落地，全年项目储备规模达200亿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发展和改革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市直各部门和各镇、街道、农林场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19.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加大上争资金力度，全面梳理财政资金、项目申报目录，健全完善项目清单管理机制，上争资金30亿元。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市直各部门和各镇、街道、农林场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坚持以商招商、真情引商，推动浙江美源新材料、金鹤生物等10个意向性项目尽快签约落地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商务和投资促进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工业园区管委会、库区湿地管理局、市直各部门和各镇、街道、农林场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严把项目准入评审，有效控制项目用地规模、投资强度、产值税收等指标，切实提高招引质效，落实招商引资到位资金72亿元。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商务和投资促进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工业园区管委会、市直各部门和各镇、街道、农林场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工业转型再加速。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加快推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进铝及新型材料、清洁能源、装备制造产业集群全链条发展，全力引进浙江经海、山西瑞格金属等项目落地，加快推动天津津和、中青银铝业投产达效，就地全面消纳42万吨铝水，铝产业实现产值100亿元以上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吴文彪、胡兴成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工业和信息化局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工业园区管委会、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商务和投资促进局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和各相关镇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23.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力促致兴纺织还原靛蓝、华茂伟业新材料项目签约落地，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加快金昱元搬迁改造，开工建设海利、华梦新材料项目，推动农加、亚辰等新材料项目建成投产，新型材料实现产值100亿元以上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-6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马坤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工业园区管委会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cs="方正仿宋_GBK"/>
          <w:b w:val="0"/>
          <w:bCs w:val="0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工业和信息化局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、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zh-CN"/>
        </w:rPr>
        <w:t>商务和投资促进局、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市直相关部门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zh-CN"/>
        </w:rPr>
        <w:t>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青铜峡镇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24.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加快公共建筑、企业厂房等屋顶分布式光伏推广应用，启动重点区域集中式光伏项目建设，清洁能源实现产值10亿元以上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工业园区管委会、库区湿地管理局、市直相关部门和各相关镇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25.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推进古峡重工、海鸿机械科技等投产达效，新大众、奇立城等扩能增效，装备制造实现产值10亿元以上。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吴文彪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：市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工业园区管委会、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市直相关部门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26.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用好工业发展专项基金、纾困资金和融资平台，坚持“一企一策一专班”，加快大禹新材料二期、万向新元资源循环利用等38个重点工业项目建设，加速“个转企、小升规、规改股、股上市”，新增规上工业企业8家，规上工业增加值增长10%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吴文彪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工业园区管委会、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市直相关部门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27.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以创建高新技术产业开发区为目标，引进入驻汇羽丰新材料等15个意向性企业，推动永利新材料等12个项目建成投产，年内园区实现工业总产值200亿元以上。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马坤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工业园区管委会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工业和信息化局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、商务和投资促进局、自然资源局和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青铜峡镇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现代农业再融合。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28.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严守耕地红线，坚决遏制耕地“非农化”、防止耕地“非粮化”，粮食种植面积稳定在43.8万亩，产量稳定在28万吨，全力保障粮食安全。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自然资源局、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各镇、农林场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29.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6"/>
          <w:sz w:val="32"/>
          <w14:textFill>
            <w14:solidFill>
              <w14:schemeClr w14:val="tx1"/>
            </w14:solidFill>
          </w14:textFill>
        </w:rPr>
        <w:t>调优种养结构，瓜菜种植达15万亩、总产量达50万吨以上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6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各镇、农林场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30.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新增酿酒葡萄种植1万亩，新建银票、青云等</w:t>
      </w:r>
      <w:r>
        <w:rPr>
          <w:rFonts w:hint="eastAsia" w:ascii="方正仿宋_GBK" w:hAnsi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家酒庄，加快葡萄酒智慧信息管理平台建设，葡萄酒产业综合产值达到70亿元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市葡萄酒产业服务中心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市直相关部门和各镇、农林场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31.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奶牛存栏达到12万头，鲜奶产量达到55万吨以上，奶产业综合产值突破110亿元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市直相关部门和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各镇、农林场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32.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加快天地兴农、新兴农牧三期续建项目建设，着力构建生猪养殖、屠宰、加工、销售全产业链经营体系，生猪饲养量稳定在35万头、综合产值达到20亿元以上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市直相关部门和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各镇、农林场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33.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建成登海种业西北研发中心，新建制种“五化”基地1万亩，玉米制种达到8万亩，制种产业综合产值达到16亿元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市直相关部门和各镇、农林场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34.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认证绿色食品、名特优新农产品4个，农产品加工转化率达到80%以上，绿色食品产业综合产值达到18亿元。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市直相关部门和各镇、农林场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35.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加快发展数字农业，实施国家数字种植业创新应用基地项目、建设示范基地1万亩，打造“互联网+”农产品销售网点5处、累计达到20处，新建农产品仓储保鲜冷链设施10个，促进农业生产和农产品消费全面升级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zh-CN"/>
        </w:rPr>
        <w:t>发展和改革局、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商务和投资促进局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zh-CN"/>
        </w:rPr>
        <w:t>、市直相关部门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和各镇、农林场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36.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14:textFill>
            <w14:solidFill>
              <w14:schemeClr w14:val="tx1"/>
            </w14:solidFill>
          </w14:textFill>
        </w:rPr>
        <w:t>农业增加值增长4.5%以上。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市直相关部门和各镇、农林场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第三产业再提档。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37.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推进文旅产业深度融合，加快鸽子山葡萄酒文化旅游小镇建设，实施长城国家文化公园青铜峡段保护等8个项目，青铜古镇全面运营，西鸽酒庄进入国家4A级景区行列，黄河大峡谷成功创建国家5A级旅游景区，优化乡村旅游资源，打造乡村游“风景线”，实现旅游综合收入18亿元、综合产值达到40亿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吴文彪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市文化旅游体育广电局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市直相关部门和各镇、农林场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38.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承办全区第五届农民篮球争霸赛，举办西鸽酒庄贺兰山东麓山地旅游自行车挑战赛等品牌赛事、商展和大型演出16场次。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吴文彪、胡兴成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市文化旅游体育广电局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、商务和投资促进局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市直相关部门和各镇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、街道、农林场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39.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加快现代服务业发展，出台支持商贸服务业发展奖补政策，年内新增入库企业、“大个体”10家以上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商务和投资促进局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相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关部门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40.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实施工业园区物流中心、西部煤炭物流综合贸易中心项目，建成现代物流大数据中心，加快物流产业集聚区建设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工业园区管委会、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工业和信息化局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zh-CN"/>
        </w:rPr>
        <w:t>、商务和投资促进局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41.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深化国家电子商务进农村示范县成果，电商交易额同比增长12%以上。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商务和投资促进局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相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关部门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zh-CN"/>
        </w:rPr>
        <w:t>和各镇、农林场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spacing w:val="0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  <w:lang w:val="en-US" w:eastAsia="zh-CN"/>
        </w:rPr>
        <w:t>42.</w:t>
      </w: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</w:rPr>
        <w:t>举办稻花香里艺术节，组织开展系列促消费活动，推进新百商业广场、龙海商业街餐饮名店进驻，培育生态农庄、星级乡村旅游示范点3个，带动假日经济、夜间经济加速发展</w:t>
      </w: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市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商务和投资促进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市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文化旅游体育广电局、市直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相关部门和各镇、农林场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spacing w:val="0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  <w:lang w:val="en-US" w:eastAsia="zh-CN"/>
        </w:rPr>
        <w:t>43.</w:t>
      </w: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</w:rPr>
        <w:t>服务业增加值增长8.5%以上。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市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市科技局、民政局、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商务和投资促进局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文化旅游体育广电局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、市直相关部门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和各镇、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街道、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生态环境再改善。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44.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落实“双控”目标，推动“双碳”工作，组建节能减碳中心，鼓励支持天净神州贺兰山风电场扩建等18个风电改造项目建设，全力推进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村镇公共建筑热源改造示范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等6个北方清洁取暖项目，实施青水泥节能环保绿色智能示范、青铝煅烧炉改造等8个技改项目，节约能耗23万吨标准煤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zh-CN"/>
        </w:rPr>
        <w:t>工业园区管委会、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工业和信息化局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45.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紧盯13个存量“两高”企业，“一企一策”推动关停并转，倒逼落后产能退出、低效企业转型，腾出空间用于优质项目建设。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zh-CN"/>
        </w:rPr>
        <w:t>工业园区管委会、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spacing w:val="0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  <w:lang w:val="en-US" w:eastAsia="zh-CN"/>
        </w:rPr>
        <w:t>46.</w:t>
      </w: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</w:rPr>
        <w:t>坚决打赢蓝天保卫战，严厉打击大气污染违法行为，“散乱污”企业动态清零，空气优良天数比例达到85%以上，PM</w:t>
      </w: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  <w:vertAlign w:val="subscript"/>
        </w:rPr>
        <w:t>10</w:t>
      </w: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</w:rPr>
        <w:t>、PM</w:t>
      </w: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  <w:vertAlign w:val="subscript"/>
        </w:rPr>
        <w:t>2.5</w:t>
      </w: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</w:rPr>
        <w:t>平均浓度分别降至66微克/立方米、32微克/立方米。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吴忠市生态环境局青铜峡分局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lang w:val="zh-CN"/>
        </w:rPr>
        <w:t>工业园区管委会、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市直相关部门和各镇、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街道、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spacing w:val="0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  <w:lang w:val="en-US" w:eastAsia="zh-CN"/>
        </w:rPr>
        <w:t>47.</w:t>
      </w: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</w:rPr>
        <w:t>全力打好碧水保卫战，实施工业园区区块二尾水改造提升等15个项目，加快推进农村污水处理站市场化运营，黄河青铜峡段断面水质保持Ⅱ类进Ⅱ类出、入黄排水沟水质稳定在Ⅳ类以上。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吴忠市生态环境局青铜峡分局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工业园区管委会、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水务局、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住房和城乡建设局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市直相关部门和各镇、街道、农林场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spacing w:val="0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  <w:lang w:val="en-US" w:eastAsia="zh-CN"/>
        </w:rPr>
        <w:t>48.</w:t>
      </w:r>
      <w:r>
        <w:rPr>
          <w:rFonts w:hint="eastAsia" w:ascii="方正仿宋_GBK" w:hAnsi="方正仿宋_GBK" w:eastAsia="方正仿宋_GBK" w:cs="方正仿宋_GBK"/>
          <w:b w:val="0"/>
          <w:color w:val="auto"/>
          <w:spacing w:val="0"/>
        </w:rPr>
        <w:t>扎实推进净土保卫战，开展固废危废专项整治行动，实施炜林环保粉煤灰等4个固废综合利用项目，一般固废综合利用率达到50%以上；强化农业面源污染防治，完善残膜回收利用机制，农药化肥使用“零增长”。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胡兴成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吴忠市生态环境局青铜峡分局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工业园区管委会、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市工业和信息化局、住房和城乡建设局、卫生健康局、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市直相关部门和各镇、农林场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49.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巩固中央、自治区环保督察成效，全力做好新一轮环保督察反馈问题整改，推动整改常态化、制度化、长效化。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胡兴成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吴忠市生态环境局青铜峡分局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 w:eastAsia="zh-CN"/>
        </w:rPr>
        <w:t>工业园区管委会、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市直各部门和各镇、街道、农林场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城乡建设再提质。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50.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巩固拓展老旧小区改造全区示范成果，加快推进铝厂片区基础设施和宁朔路、团结巷等12条街巷改造提升，新建小微游园、街角公园6个，实施城市花园、锦绣园三期等4个房地产开发项目；实施城市垃圾分类项目，改建垃圾分拣中心3座，建设生活垃圾分类智慧平台，城市生活垃圾无害化处理率达到100%，全面提升城市发展内涵和人居环境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市直各部门和各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zh-CN"/>
        </w:rPr>
        <w:t>相关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镇、街道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51.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深入推进乡村建设行动“五大工程”，深化人居环境整治“11246”模式，重点提升整治行政村39个，因地制宜完成庄点植绿美化101个，新改建污水处理站12座，打造自治区级人居环境整治示范村6个，农村生活垃圾资源化利用率、生活污水治理率分别达到50%和60%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市发展和改革局、自然资源局、住房和城乡建设局、水务局和各镇、农林场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right="0" w:rightChars="0" w:firstLine="3168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52.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盘活农村资产资源，全市80%的村集体经济收入达到8万元以上，新增村集体经济收入100万元以上村4个、50万元以上村8个。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市直相关部门和各镇、农林场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jc w:val="both"/>
        <w:textAlignment w:val="baseline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53.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建立完善农村公路管护长效机制，全面推行路长制，新建改造农村公路58公里，争创全国“四好农村路”示范县。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交通运输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市直相关部门和各镇、农林场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jc w:val="both"/>
        <w:textAlignment w:val="baseline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社会事业再发展。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54.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推进百万移民致富提升行动，常态化开展农村低收入人群监测预警，围绕壮大产业、促进就业、社会融入，投资9600万元实施产业发展项目23个，实现转移就业8000人，健全保障体系，移民人均可支配收入增长20%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农业农村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局（乡村振兴局）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市人力资源和社会保障局、民政局、市直相关部门和各镇、农林场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jc w:val="both"/>
        <w:textAlignment w:val="baseline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55.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推进城乡居民收入提升行动，稳就业促就业，新增城镇就业3200人、农村劳动力转移就业2万人以上；建立低保、特困人员供养标准自然增长机制，织牢民生兜底保障网；突出调高、扩中、提低“三轮驱动”，增加居民工资性、财产性收入，城乡居民人均可支配收入分别达到37067元、20467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贺怡、王成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人力资源和社会保障局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、民政局、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农业农村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市财政局、民政局、自然资源局等有关部门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jc w:val="both"/>
        <w:textAlignment w:val="baseline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56.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推进基础教育质量提升行动，扩大学前教育资源供给，新改建幼儿园4个，普惠园覆盖率达到88%以上；成立市教师发展中心，筹建第八中学，改造提升44所中小学；抓好“双减”工作、推进“五项管理”，全面依法规范校外培训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贺怡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教育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pacing w:val="6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市直相关部门和</w:t>
      </w:r>
      <w:r>
        <w:rPr>
          <w:rFonts w:hint="eastAsia" w:ascii="方正仿宋_GBK" w:hAnsi="方正仿宋_GBK" w:eastAsia="方正仿宋_GBK" w:cs="方正仿宋_GBK"/>
          <w:color w:val="000000"/>
          <w:spacing w:val="6"/>
          <w:sz w:val="32"/>
          <w:szCs w:val="32"/>
        </w:rPr>
        <w:t>各镇</w:t>
      </w:r>
      <w:r>
        <w:rPr>
          <w:rFonts w:hint="eastAsia" w:ascii="方正仿宋_GBK" w:hAnsi="方正仿宋_GBK" w:eastAsia="方正仿宋_GBK" w:cs="方正仿宋_GBK"/>
          <w:color w:val="000000"/>
          <w:spacing w:val="6"/>
          <w:sz w:val="32"/>
          <w:szCs w:val="32"/>
          <w:lang w:val="zh-CN"/>
        </w:rPr>
        <w:t>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57.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推进全民健康水平提升行动，推动县域医共体实体化运行，大力提升医疗质量、中医药服务、实验室检测水平，提高重大突发公共卫生事件应对处置能力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贺怡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卫生健康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58.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构建多元化养老服务体系，提标改造养老机构2家，推动铝厂社区卫生服务中心、大坝卫生院医养结合中心投入运行。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贺怡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民政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zh-CN"/>
        </w:rPr>
        <w:t>、卫生健康局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59.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巩固国家公共文化服务体系示范市成果，组织文化下基层100场次，不断丰富群众精神文化生活。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  <w:t>吴文彪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文化旅游体育广电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市直相关部门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ascii="黑体" w:hAnsi="黑体" w:eastAsia="黑体" w:cs="Times New Roman"/>
          <w:b w:val="0"/>
          <w:bCs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（九）</w:t>
      </w: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治理能力再提升。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60.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深入推进平安创建及市域社会治理试点，围绕“1+6”基层治理体系打造特色点位12个以上，建设更高水平的平安青铜峡。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吴文彪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、贺怡、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袁保峰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zh-CN"/>
        </w:rPr>
        <w:t>市委统战部（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u w:val="none"/>
        </w:rPr>
        <w:t>民族宗教事务局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市教育局、工业和信息化局、民政局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农业农村局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、裕民街道办事处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pacing w:val="6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pacing w:val="6"/>
          <w:sz w:val="32"/>
          <w:szCs w:val="32"/>
          <w:lang w:val="zh-CN"/>
        </w:rPr>
        <w:t>市直各部门和各镇、农林场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61.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扎实开展“八五”普法，深化行政执法“三项制度”，认真落实重大行政决策合法性审查制度，创成全国法治政府建设示范县。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袁保峰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司法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pacing w:val="6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pacing w:val="6"/>
          <w:sz w:val="32"/>
          <w:szCs w:val="32"/>
          <w:lang w:val="zh-CN"/>
        </w:rPr>
        <w:t>市直各部门和各镇、街道、农林场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62.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推进改革和加强派出所工作，加快“地网”工程建设，实现治安防控全覆盖、无死角；常态化开展扫黑除恶斗争，纵深推进“反诈人民战争”，严打电诈等违法犯罪行为，进一步净化社会环境。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袁保峰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市直各部门和各镇、街道、农林场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jc w:val="both"/>
        <w:textAlignment w:val="baseline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63.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深入开展信访工作“四无村（社区）”创建活动，初信初访一次性办结率达到100%，努力实现小事不出村、大事不出镇、矛盾不上交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袁保峰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pacing w:val="6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pacing w:val="6"/>
          <w:sz w:val="32"/>
          <w:szCs w:val="32"/>
          <w:lang w:val="zh-CN"/>
        </w:rPr>
        <w:t>市直相关部门和各镇、街道、农林场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64.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全面推行街长制，推动城市管理重心力量下沉，构建镇街为主体、多部门协调配合、全社会广泛参与的综合管理新模式。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住房和城乡建设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相关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65.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全面贯彻落实新《安全生产法》，扎实推进自然灾害综合风险普查，坚决打赢安全生产专项整治三年行动收官战。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吴文彪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应急管理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市直各部门和各镇、街道、农林场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66.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深化全域创建“食品药品安全区”，强化冷链物流全过程监管，全力保障群众“舌尖上的安全”和“针尖上的安全”。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default" w:ascii="方正仿宋_GBK" w:hAnsi="方正仿宋_GBK" w:eastAsia="方正仿宋_GBK" w:cs="方正仿宋_GBK"/>
          <w:spacing w:val="-4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eastAsia="zh-CN"/>
        </w:rPr>
        <w:t>吴文彪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市场监督管理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卫生健康局、市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直相关部门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（十）</w:t>
      </w:r>
      <w:r>
        <w:rPr>
          <w:rFonts w:hint="eastAsia" w:ascii="方正楷体_GBK" w:hAnsi="方正楷体_GBK" w:eastAsia="方正楷体_GBK" w:cs="方正楷体_GBK"/>
          <w:b/>
          <w:bCs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自身建设再加强。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67.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强化政治担当，持续深化党史学习教育，坚决贯彻落实上级党委、政府决策部署，全面精准落实市委工作要求，不断提高政治判断力、政治领悟力、政治执行力。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  <w:t>政府</w:t>
      </w:r>
      <w:r>
        <w:rPr>
          <w:rFonts w:hint="eastAsia" w:ascii="方正仿宋_GBK" w:hAnsi="方正仿宋_GBK" w:cs="方正仿宋_GBK"/>
          <w:spacing w:val="-4"/>
          <w:sz w:val="32"/>
          <w:szCs w:val="32"/>
          <w:lang w:val="zh-CN"/>
        </w:rPr>
        <w:t>市长、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各副市长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市直各部门和各镇、街道、农林场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68.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强化责任担当，始终把人民放在心中最高位置，多做化解民忧之事、多行便民暖心之举，让政府服务走上门，群众幸福来敲门。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  <w:t>政府</w:t>
      </w:r>
      <w:r>
        <w:rPr>
          <w:rFonts w:hint="eastAsia" w:ascii="方正仿宋_GBK" w:hAnsi="方正仿宋_GBK" w:cs="方正仿宋_GBK"/>
          <w:spacing w:val="-4"/>
          <w:sz w:val="32"/>
          <w:szCs w:val="32"/>
          <w:lang w:val="zh-CN"/>
        </w:rPr>
        <w:t>市长、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各副市长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市直各部门和各镇、街道、农林场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69.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强化法治担当，严格落实政府常务会学法制度，深化法治政府建设，自觉运用法治思维和法治方式推进工作，加强和改进政务公开、行政复议，严格公正文明规范执法。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  <w:t>政府</w:t>
      </w:r>
      <w:r>
        <w:rPr>
          <w:rFonts w:hint="eastAsia" w:ascii="方正仿宋_GBK" w:hAnsi="方正仿宋_GBK" w:cs="方正仿宋_GBK"/>
          <w:spacing w:val="-4"/>
          <w:sz w:val="32"/>
          <w:szCs w:val="32"/>
          <w:lang w:val="zh-CN"/>
        </w:rPr>
        <w:t>市长、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各副市长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政府办公室、司法局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市直各部门和各镇、街道、农林场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textAlignment w:val="baseline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70.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强化廉洁担当，认真履行党风廉政建设“一岗双责”，正风肃纪，持续整治“三不为”，严惩发生在群众身边的腐败问题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  <w:t>政府</w:t>
      </w:r>
      <w:r>
        <w:rPr>
          <w:rFonts w:hint="eastAsia" w:ascii="方正仿宋_GBK" w:hAnsi="方正仿宋_GBK" w:cs="方正仿宋_GBK"/>
          <w:spacing w:val="-4"/>
          <w:sz w:val="32"/>
          <w:szCs w:val="32"/>
          <w:lang w:val="zh-CN"/>
        </w:rPr>
        <w:t>市长、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各副市长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市直各部门和各镇、街道、农林场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textAlignment w:val="baseline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32"/>
        <w:textAlignment w:val="auto"/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:lang w:val="en-US" w:eastAsia="zh-CN"/>
          <w14:textFill>
            <w14:solidFill>
              <w14:schemeClr w14:val="tx1"/>
            </w14:solidFill>
          </w14:textFill>
        </w:rPr>
        <w:t>71.</w:t>
      </w:r>
      <w:r>
        <w:rPr>
          <w:rFonts w:hint="eastAsia" w:ascii="方正仿宋_GBK" w:hAnsi="方正仿宋_GBK" w:eastAsia="方正仿宋_GBK" w:cs="方正仿宋_GBK"/>
          <w:b w:val="0"/>
          <w:color w:val="000000" w:themeColor="text1"/>
          <w:spacing w:val="0"/>
          <w14:textFill>
            <w14:solidFill>
              <w14:schemeClr w14:val="tx1"/>
            </w14:solidFill>
          </w14:textFill>
        </w:rPr>
        <w:t>严格“三公”经费支出，把有限财力用在推动发展和改善民生上，全力维护群众切身利益，永葆为民务实清廉政治本色。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责任领导：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政府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zh-CN"/>
        </w:rPr>
        <w:t>市长、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各副</w:t>
      </w:r>
      <w:r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  <w:t>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spacing w:val="-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牵头单位：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政府办公室、财政局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配合单位：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市直各部门和各镇、街道、农林场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textAlignment w:val="baseline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zh-CN"/>
        </w:rPr>
        <w:t>完成时限：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12月31日前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lang w:val="en-US" w:eastAsia="zh-CN"/>
        </w:rPr>
        <w:t>（一）加强领导，落实责任。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为确保全年各项工作任务目标的顺利完成，各责任领导、部门、单位要高度重视，严格按照任务分工，制定本单位贯彻落实方案，进一步细化分解工作任务，以季度为界限，明确完成标准及完成时限，于20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日前，报市政府办公室4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lang w:val="en-US" w:eastAsia="zh-CN"/>
        </w:rPr>
        <w:t>02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室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lang w:val="en-US" w:eastAsia="zh-CN"/>
        </w:rPr>
        <w:t>（联系人：马东，联系电话：3061641）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5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lang w:val="en-US" w:eastAsia="zh-CN"/>
        </w:rPr>
        <w:t>（二）强化督查，严格考核。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市政府督查室要严格按照各部门报送的工作方案，定期督查分析，并按季度公布、通报目标进展情况，年终全面考核。对认识不到位，落实不力，完成情况严重滞后的部门、单位及负责人进行问责。年终按照此次分解的经济社会发展目标任务考核，全年完成情况以统计部门数据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lang w:val="en-US" w:eastAsia="zh-CN"/>
        </w:rPr>
        <w:t>（三）协调配合，形成合力。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各部门、单位要全面、及时、准确地收集、整理、统计上报本部门、本行业发展情况。市发改局要抓好按月按季经济运行分析工作，加大对宏观经济形势的分析研判，及时分析经济运行中的热点和难点问题，提出解决问题的措施建议；市统计局要加强对各部门、单位及行业统计工作的指导；各部门、单位要积极配合统计部门做好经济社会统计工作，指定专人负责，按责任目标认真清理核对全市20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年经济社会发展目标任务完成情况。</w:t>
      </w: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p>
      <w:pPr>
        <w:pBdr>
          <w:top w:val="single" w:color="auto" w:sz="4" w:space="0"/>
          <w:bottom w:val="single" w:color="auto" w:sz="4" w:space="0"/>
        </w:pBdr>
        <w:spacing w:line="440" w:lineRule="exact"/>
        <w:ind w:firstLine="276" w:firstLineChars="100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青铜峡市人民政府办公室</w:t>
      </w:r>
      <w:r>
        <w:rPr>
          <w:rFonts w:ascii="方正仿宋_GBK" w:hAnsi="方正仿宋_GBK" w:eastAsia="方正仿宋_GBK" w:cs="方正仿宋_GBK"/>
          <w:sz w:val="28"/>
          <w:szCs w:val="28"/>
        </w:rPr>
        <w:t xml:space="preserve">          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ascii="方正仿宋_GBK" w:hAnsi="方正仿宋_GBK" w:eastAsia="方正仿宋_GBK" w:cs="方正仿宋_GBK"/>
          <w:sz w:val="28"/>
          <w:szCs w:val="28"/>
        </w:rPr>
        <w:t xml:space="preserve"> 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ascii="方正仿宋_GBK" w:hAnsi="方正仿宋_GBK" w:eastAsia="方正仿宋_GBK" w:cs="方正仿宋_GBK"/>
          <w:sz w:val="28"/>
          <w:szCs w:val="28"/>
        </w:rPr>
        <w:t xml:space="preserve">      202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ascii="方正仿宋_GBK" w:hAnsi="方正仿宋_GBK" w:eastAsia="方正仿宋_GBK" w:cs="方正仿宋_GBK"/>
          <w:sz w:val="28"/>
          <w:szCs w:val="28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日印发</w:t>
      </w:r>
    </w:p>
    <w:sectPr>
      <w:footerReference r:id="rId5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left="0" w:leftChars="0" w:firstLine="0" w:firstLineChars="0"/>
                          </w:pPr>
                          <w:r>
                            <w:rPr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52"/>
                            </w:rPr>
                            <w:t>1</w:t>
                          </w:r>
                          <w:r>
                            <w:rPr>
                              <w:sz w:val="28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0" w:leftChars="0" w:firstLine="0" w:firstLineChars="0"/>
                    </w:pPr>
                    <w:r>
                      <w:rPr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sz w:val="28"/>
                        <w:szCs w:val="52"/>
                      </w:rPr>
                      <w:t>1</w:t>
                    </w:r>
                    <w:r>
                      <w:rPr>
                        <w:sz w:val="28"/>
                        <w:szCs w:val="5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B132A"/>
    <w:rsid w:val="02E06CD7"/>
    <w:rsid w:val="0950279A"/>
    <w:rsid w:val="0D6C1630"/>
    <w:rsid w:val="19A86E07"/>
    <w:rsid w:val="19E71520"/>
    <w:rsid w:val="1DA14B76"/>
    <w:rsid w:val="25CD609E"/>
    <w:rsid w:val="29ED1118"/>
    <w:rsid w:val="2AB00CEE"/>
    <w:rsid w:val="2FEA26DC"/>
    <w:rsid w:val="32AF47C3"/>
    <w:rsid w:val="333077D1"/>
    <w:rsid w:val="39D245F9"/>
    <w:rsid w:val="42872CF1"/>
    <w:rsid w:val="42F8408B"/>
    <w:rsid w:val="44687305"/>
    <w:rsid w:val="48967F82"/>
    <w:rsid w:val="48A2093B"/>
    <w:rsid w:val="49653491"/>
    <w:rsid w:val="4FF5A410"/>
    <w:rsid w:val="508A6AE2"/>
    <w:rsid w:val="515B132A"/>
    <w:rsid w:val="59C7728D"/>
    <w:rsid w:val="5AFB3D3B"/>
    <w:rsid w:val="64667057"/>
    <w:rsid w:val="6AF135AD"/>
    <w:rsid w:val="6C1A773D"/>
    <w:rsid w:val="6DE05E12"/>
    <w:rsid w:val="70245087"/>
    <w:rsid w:val="787538EF"/>
    <w:rsid w:val="7C547A52"/>
    <w:rsid w:val="7DFD6E8D"/>
    <w:rsid w:val="EE4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方正黑体_GBK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方正楷体_GBK"/>
      <w:b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青铜峡市政府办公室</Company>
  <Pages>27</Pages>
  <Words>9525</Words>
  <Characters>10193</Characters>
  <Lines>0</Lines>
  <Paragraphs>0</Paragraphs>
  <TotalTime>10</TotalTime>
  <ScaleCrop>false</ScaleCrop>
  <LinksUpToDate>false</LinksUpToDate>
  <CharactersWithSpaces>10250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2021-09-01T15:11:00Z</dcterms:created>
  <dc:creator>狍狍不傻</dc:creator>
  <cp:lastModifiedBy>不相欠</cp:lastModifiedBy>
  <cp:lastPrinted>2022-01-17T15:39:00Z</cp:lastPrinted>
  <dcterms:modified xsi:type="dcterms:W3CDTF">2022-03-11T08:33:21Z</dcterms:modified>
  <dc:title>青  铜  峡  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7B165251AF7345A9B120617A02EC8713</vt:lpwstr>
  </property>
</Properties>
</file>