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中职阶段资助政策解读</w:t>
      </w:r>
    </w:p>
    <w:p>
      <w:pPr>
        <w:spacing w:line="560" w:lineRule="exact"/>
        <w:ind w:firstLine="643" w:firstLineChars="200"/>
        <w:rPr>
          <w:rFonts w:hint="eastAsia" w:ascii="仿宋" w:hAnsi="仿宋" w:eastAsia="仿宋"/>
          <w:b/>
          <w:sz w:val="32"/>
          <w:szCs w:val="32"/>
        </w:rPr>
      </w:pPr>
      <w:r>
        <w:rPr>
          <w:rFonts w:hint="eastAsia" w:ascii="仿宋" w:hAnsi="仿宋" w:eastAsia="仿宋"/>
          <w:b/>
          <w:sz w:val="32"/>
          <w:szCs w:val="32"/>
          <w:lang w:val="en-US" w:eastAsia="zh-CN"/>
        </w:rPr>
        <w:t>1.</w:t>
      </w:r>
      <w:r>
        <w:rPr>
          <w:rFonts w:hint="eastAsia" w:ascii="仿宋" w:hAnsi="仿宋" w:eastAsia="仿宋"/>
          <w:b/>
          <w:sz w:val="32"/>
          <w:szCs w:val="32"/>
          <w:lang w:eastAsia="zh-CN"/>
        </w:rPr>
        <w:t>中职</w:t>
      </w:r>
      <w:r>
        <w:rPr>
          <w:rFonts w:hint="eastAsia" w:ascii="仿宋" w:hAnsi="仿宋" w:eastAsia="仿宋"/>
          <w:b/>
          <w:sz w:val="32"/>
          <w:szCs w:val="32"/>
        </w:rPr>
        <w:t>国家助学金政策。</w:t>
      </w:r>
    </w:p>
    <w:p>
      <w:pPr>
        <w:spacing w:line="560" w:lineRule="exact"/>
        <w:ind w:firstLine="643" w:firstLineChars="200"/>
        <w:rPr>
          <w:rFonts w:hint="eastAsia" w:ascii="仿宋" w:hAnsi="仿宋" w:eastAsia="仿宋"/>
          <w:sz w:val="32"/>
          <w:szCs w:val="32"/>
          <w:lang w:eastAsia="zh-CN"/>
        </w:rPr>
      </w:pPr>
      <w:r>
        <w:rPr>
          <w:rFonts w:hint="eastAsia" w:ascii="仿宋" w:hAnsi="仿宋" w:eastAsia="仿宋"/>
          <w:b/>
          <w:sz w:val="32"/>
          <w:szCs w:val="32"/>
        </w:rPr>
        <w:t>政策依据：</w:t>
      </w:r>
      <w:r>
        <w:rPr>
          <w:rFonts w:hint="eastAsia" w:ascii="仿宋" w:hAnsi="仿宋" w:eastAsia="仿宋"/>
          <w:sz w:val="32"/>
          <w:szCs w:val="32"/>
          <w:lang w:eastAsia="zh-CN"/>
        </w:rPr>
        <w:t>《财政部教育部人力资源和社会保障部退役军人部中央军委国防动员部关于印发&lt;学生资助资金管理办法&gt;的通知》（财教[2021]310号）、《自治区教育厅办公室关于做好</w:t>
      </w:r>
      <w:r>
        <w:rPr>
          <w:rFonts w:hint="eastAsia" w:ascii="仿宋" w:hAnsi="仿宋" w:eastAsia="仿宋"/>
          <w:sz w:val="32"/>
          <w:szCs w:val="32"/>
          <w:lang w:val="en-US" w:eastAsia="zh-CN"/>
        </w:rPr>
        <w:t>2021年秋季学期各学段学生资助工作的通知</w:t>
      </w:r>
      <w:r>
        <w:rPr>
          <w:rFonts w:hint="eastAsia" w:ascii="仿宋" w:hAnsi="仿宋" w:eastAsia="仿宋"/>
          <w:sz w:val="32"/>
          <w:szCs w:val="32"/>
          <w:lang w:eastAsia="zh-CN"/>
        </w:rPr>
        <w:t>》。</w:t>
      </w:r>
    </w:p>
    <w:p>
      <w:pPr>
        <w:spacing w:line="560" w:lineRule="exact"/>
        <w:ind w:firstLine="643" w:firstLineChars="200"/>
        <w:rPr>
          <w:rFonts w:ascii="仿宋" w:hAnsi="仿宋" w:eastAsia="仿宋" w:cs="宋体"/>
          <w:color w:val="000000"/>
          <w:sz w:val="32"/>
          <w:szCs w:val="32"/>
        </w:rPr>
      </w:pPr>
      <w:r>
        <w:rPr>
          <w:rFonts w:hint="eastAsia" w:ascii="仿宋" w:hAnsi="仿宋" w:eastAsia="仿宋"/>
          <w:b/>
          <w:sz w:val="32"/>
          <w:szCs w:val="32"/>
        </w:rPr>
        <w:t>实施对象：</w:t>
      </w:r>
      <w:r>
        <w:rPr>
          <w:rFonts w:hint="eastAsia" w:ascii="仿宋" w:hAnsi="仿宋" w:eastAsia="仿宋" w:cs="宋体"/>
          <w:color w:val="000000"/>
          <w:sz w:val="32"/>
          <w:szCs w:val="32"/>
        </w:rPr>
        <w:t>具有中等职业学校全日制学历教育正式学籍的一、二年级</w:t>
      </w:r>
      <w:r>
        <w:rPr>
          <w:rFonts w:hint="eastAsia" w:ascii="仿宋" w:hAnsi="仿宋" w:eastAsia="仿宋" w:cs="宋体"/>
          <w:color w:val="000000"/>
          <w:sz w:val="32"/>
          <w:szCs w:val="32"/>
          <w:lang w:eastAsia="zh-CN"/>
        </w:rPr>
        <w:t>家庭困难</w:t>
      </w:r>
      <w:r>
        <w:rPr>
          <w:rFonts w:hint="eastAsia" w:ascii="仿宋" w:hAnsi="仿宋" w:eastAsia="仿宋" w:cs="宋体"/>
          <w:color w:val="000000"/>
          <w:sz w:val="32"/>
          <w:szCs w:val="32"/>
        </w:rPr>
        <w:t>学生</w:t>
      </w:r>
      <w:r>
        <w:rPr>
          <w:rFonts w:hint="eastAsia" w:ascii="仿宋" w:hAnsi="仿宋" w:eastAsia="仿宋" w:cs="宋体"/>
          <w:color w:val="000000"/>
          <w:sz w:val="32"/>
          <w:szCs w:val="32"/>
          <w:lang w:eastAsia="zh-CN"/>
        </w:rPr>
        <w:t>，包括：</w:t>
      </w:r>
      <w:r>
        <w:rPr>
          <w:rFonts w:hint="eastAsia" w:ascii="仿宋" w:hAnsi="仿宋" w:eastAsia="仿宋" w:cs="仿宋"/>
          <w:sz w:val="32"/>
          <w:szCs w:val="32"/>
        </w:rPr>
        <w:t>1.</w:t>
      </w:r>
      <w:r>
        <w:rPr>
          <w:rFonts w:hint="eastAsia" w:ascii="仿宋" w:hAnsi="仿宋" w:eastAsia="仿宋" w:cs="宋体"/>
          <w:color w:val="000000"/>
          <w:sz w:val="32"/>
          <w:szCs w:val="32"/>
        </w:rPr>
        <w:t xml:space="preserve"> 属于11个连片特困地区（固原市原州区、同心县、海原县、西吉县、隆德县、泾源县、彭阳县）以及部分省外的连片特困区的学生，以户籍所在地为准；2.</w:t>
      </w:r>
      <w:r>
        <w:rPr>
          <w:rFonts w:hint="eastAsia" w:ascii="仿宋" w:hAnsi="仿宋" w:eastAsia="仿宋" w:cs="仿宋"/>
          <w:sz w:val="32"/>
          <w:szCs w:val="32"/>
        </w:rPr>
        <w:t>脱贫（原建档立卡）家庭学生；3.边缘易致贫家庭学生；4.脱贫不稳定家庭学生；5.城乡低保家庭学生；6.城乡特困救助供养学生；7.孤儿（包括事实孤儿）；8.烈士子女；9.残疾学</w:t>
      </w:r>
      <w:r>
        <w:rPr>
          <w:rFonts w:hint="eastAsia" w:ascii="仿宋" w:hAnsi="仿宋" w:eastAsia="仿宋" w:cs="宋体"/>
          <w:color w:val="000000"/>
          <w:sz w:val="32"/>
          <w:szCs w:val="32"/>
        </w:rPr>
        <w:t>生和残疾人家庭学生。</w:t>
      </w:r>
    </w:p>
    <w:p>
      <w:pPr>
        <w:spacing w:line="560" w:lineRule="exact"/>
        <w:ind w:firstLine="643" w:firstLineChars="200"/>
        <w:rPr>
          <w:rFonts w:hint="eastAsia" w:ascii="仿宋" w:hAnsi="仿宋" w:eastAsia="仿宋" w:cs="宋体"/>
          <w:color w:val="000000"/>
          <w:sz w:val="32"/>
          <w:szCs w:val="32"/>
          <w:lang w:eastAsia="zh-CN"/>
        </w:rPr>
      </w:pPr>
      <w:r>
        <w:rPr>
          <w:rFonts w:hint="eastAsia" w:ascii="仿宋" w:hAnsi="仿宋" w:eastAsia="仿宋"/>
          <w:b/>
          <w:sz w:val="32"/>
          <w:szCs w:val="32"/>
          <w:u w:val="single"/>
        </w:rPr>
        <w:t>资助标准：</w:t>
      </w:r>
      <w:r>
        <w:rPr>
          <w:rFonts w:hint="eastAsia" w:ascii="仿宋" w:hAnsi="仿宋" w:eastAsia="仿宋" w:cs="宋体"/>
          <w:color w:val="000000"/>
          <w:sz w:val="32"/>
          <w:szCs w:val="32"/>
        </w:rPr>
        <w:t>平均资助标准每生每年2000元，</w:t>
      </w:r>
      <w:r>
        <w:rPr>
          <w:rFonts w:hint="eastAsia" w:ascii="仿宋" w:hAnsi="仿宋" w:eastAsia="仿宋" w:cs="宋体"/>
          <w:color w:val="000000"/>
          <w:sz w:val="32"/>
          <w:szCs w:val="32"/>
          <w:lang w:eastAsia="zh-CN"/>
        </w:rPr>
        <w:t>分一档</w:t>
      </w:r>
      <w:r>
        <w:rPr>
          <w:rFonts w:hint="eastAsia" w:ascii="仿宋" w:hAnsi="仿宋" w:eastAsia="仿宋" w:cs="宋体"/>
          <w:color w:val="000000"/>
          <w:sz w:val="32"/>
          <w:szCs w:val="32"/>
        </w:rPr>
        <w:t>2200元</w:t>
      </w:r>
      <w:r>
        <w:rPr>
          <w:rFonts w:hint="eastAsia" w:ascii="仿宋" w:hAnsi="仿宋" w:eastAsia="仿宋" w:cs="宋体"/>
          <w:color w:val="000000"/>
          <w:sz w:val="32"/>
          <w:szCs w:val="32"/>
          <w:lang w:eastAsia="zh-CN"/>
        </w:rPr>
        <w:t>、二档</w:t>
      </w:r>
      <w:r>
        <w:rPr>
          <w:rFonts w:hint="eastAsia" w:ascii="仿宋" w:hAnsi="仿宋" w:eastAsia="仿宋" w:cs="宋体"/>
          <w:color w:val="000000"/>
          <w:sz w:val="32"/>
          <w:szCs w:val="32"/>
        </w:rPr>
        <w:t>2000元、</w:t>
      </w:r>
      <w:r>
        <w:rPr>
          <w:rFonts w:hint="eastAsia" w:ascii="仿宋" w:hAnsi="仿宋" w:eastAsia="仿宋" w:cs="宋体"/>
          <w:color w:val="000000"/>
          <w:sz w:val="32"/>
          <w:szCs w:val="32"/>
          <w:lang w:eastAsia="zh-CN"/>
        </w:rPr>
        <w:t>三档</w:t>
      </w:r>
      <w:r>
        <w:rPr>
          <w:rFonts w:hint="eastAsia" w:ascii="仿宋" w:hAnsi="仿宋" w:eastAsia="仿宋" w:cs="宋体"/>
          <w:color w:val="000000"/>
          <w:sz w:val="32"/>
          <w:szCs w:val="32"/>
        </w:rPr>
        <w:t>1800元三</w:t>
      </w:r>
      <w:r>
        <w:rPr>
          <w:rFonts w:hint="eastAsia" w:ascii="仿宋" w:hAnsi="仿宋" w:eastAsia="仿宋" w:cs="宋体"/>
          <w:color w:val="000000"/>
          <w:sz w:val="32"/>
          <w:szCs w:val="32"/>
          <w:lang w:eastAsia="zh-CN"/>
        </w:rPr>
        <w:t>个</w:t>
      </w:r>
      <w:r>
        <w:rPr>
          <w:rFonts w:hint="eastAsia" w:ascii="仿宋" w:hAnsi="仿宋" w:eastAsia="仿宋" w:cs="宋体"/>
          <w:color w:val="000000"/>
          <w:sz w:val="32"/>
          <w:szCs w:val="32"/>
        </w:rPr>
        <w:t>档</w:t>
      </w:r>
      <w:r>
        <w:rPr>
          <w:rFonts w:hint="eastAsia" w:ascii="仿宋" w:hAnsi="仿宋" w:eastAsia="仿宋" w:cs="宋体"/>
          <w:color w:val="000000"/>
          <w:sz w:val="32"/>
          <w:szCs w:val="32"/>
          <w:lang w:eastAsia="zh-CN"/>
        </w:rPr>
        <w:t>，按学期发放。</w:t>
      </w:r>
    </w:p>
    <w:p>
      <w:pPr>
        <w:spacing w:line="560" w:lineRule="exact"/>
        <w:ind w:firstLine="643" w:firstLineChars="200"/>
        <w:rPr>
          <w:rFonts w:hint="eastAsia" w:ascii="仿宋" w:hAnsi="仿宋" w:eastAsia="仿宋"/>
          <w:b w:val="0"/>
          <w:bCs/>
          <w:sz w:val="32"/>
          <w:szCs w:val="32"/>
        </w:rPr>
      </w:pPr>
      <w:r>
        <w:rPr>
          <w:rFonts w:hint="eastAsia" w:ascii="仿宋" w:hAnsi="仿宋" w:eastAsia="仿宋"/>
          <w:b/>
          <w:sz w:val="32"/>
          <w:szCs w:val="32"/>
        </w:rPr>
        <w:t>资助流程</w:t>
      </w:r>
      <w:r>
        <w:rPr>
          <w:rFonts w:hint="eastAsia" w:ascii="仿宋" w:hAnsi="仿宋" w:eastAsia="仿宋"/>
          <w:sz w:val="32"/>
          <w:szCs w:val="32"/>
        </w:rPr>
        <w:t>:</w:t>
      </w:r>
      <w:r>
        <w:rPr>
          <w:rFonts w:hint="eastAsia" w:ascii="仿宋" w:hAnsi="仿宋" w:eastAsia="仿宋"/>
          <w:b w:val="0"/>
          <w:bCs/>
          <w:sz w:val="32"/>
          <w:szCs w:val="32"/>
        </w:rPr>
        <w:t>每学期开学初，</w:t>
      </w:r>
      <w:r>
        <w:rPr>
          <w:rFonts w:hint="eastAsia" w:ascii="仿宋" w:hAnsi="仿宋" w:eastAsia="仿宋"/>
          <w:b w:val="0"/>
          <w:bCs/>
          <w:sz w:val="32"/>
          <w:szCs w:val="32"/>
          <w:lang w:eastAsia="zh-CN"/>
        </w:rPr>
        <w:t>由学生</w:t>
      </w:r>
      <w:r>
        <w:rPr>
          <w:rFonts w:hint="eastAsia" w:ascii="仿宋" w:hAnsi="仿宋" w:eastAsia="仿宋"/>
          <w:b w:val="0"/>
          <w:bCs/>
          <w:sz w:val="32"/>
          <w:szCs w:val="32"/>
        </w:rPr>
        <w:t>向</w:t>
      </w:r>
      <w:r>
        <w:rPr>
          <w:rFonts w:hint="eastAsia" w:ascii="仿宋" w:hAnsi="仿宋" w:eastAsia="仿宋"/>
          <w:b w:val="0"/>
          <w:bCs/>
          <w:sz w:val="32"/>
          <w:szCs w:val="32"/>
          <w:lang w:eastAsia="zh-CN"/>
        </w:rPr>
        <w:t>学校</w:t>
      </w:r>
      <w:r>
        <w:rPr>
          <w:rFonts w:hint="eastAsia" w:ascii="仿宋" w:hAnsi="仿宋" w:eastAsia="仿宋"/>
          <w:b w:val="0"/>
          <w:bCs/>
          <w:sz w:val="32"/>
          <w:szCs w:val="32"/>
        </w:rPr>
        <w:t>提出申请，按照资助工作要求提供户籍证明、贫困证明等相关资料，由</w:t>
      </w:r>
      <w:r>
        <w:rPr>
          <w:rFonts w:hint="eastAsia" w:ascii="仿宋" w:hAnsi="仿宋" w:eastAsia="仿宋"/>
          <w:b w:val="0"/>
          <w:bCs/>
          <w:sz w:val="32"/>
          <w:szCs w:val="32"/>
          <w:lang w:eastAsia="zh-CN"/>
        </w:rPr>
        <w:t>班级</w:t>
      </w:r>
      <w:r>
        <w:rPr>
          <w:rFonts w:hint="eastAsia" w:ascii="仿宋" w:hAnsi="仿宋" w:eastAsia="仿宋"/>
          <w:b w:val="0"/>
          <w:bCs/>
          <w:sz w:val="32"/>
          <w:szCs w:val="32"/>
        </w:rPr>
        <w:t>初审、</w:t>
      </w:r>
      <w:r>
        <w:rPr>
          <w:rFonts w:hint="eastAsia" w:ascii="仿宋" w:hAnsi="仿宋" w:eastAsia="仿宋"/>
          <w:b w:val="0"/>
          <w:bCs/>
          <w:sz w:val="32"/>
          <w:szCs w:val="32"/>
          <w:lang w:eastAsia="zh-CN"/>
        </w:rPr>
        <w:t>学校</w:t>
      </w:r>
      <w:r>
        <w:rPr>
          <w:rFonts w:hint="eastAsia" w:ascii="仿宋" w:hAnsi="仿宋" w:eastAsia="仿宋"/>
          <w:b w:val="0"/>
          <w:bCs/>
          <w:sz w:val="32"/>
          <w:szCs w:val="32"/>
        </w:rPr>
        <w:t>复核</w:t>
      </w:r>
      <w:r>
        <w:rPr>
          <w:rFonts w:hint="eastAsia" w:ascii="仿宋" w:hAnsi="仿宋" w:eastAsia="仿宋"/>
          <w:b w:val="0"/>
          <w:bCs/>
          <w:sz w:val="32"/>
          <w:szCs w:val="32"/>
          <w:lang w:eastAsia="zh-CN"/>
        </w:rPr>
        <w:t>、</w:t>
      </w:r>
      <w:r>
        <w:rPr>
          <w:rFonts w:hint="eastAsia" w:ascii="仿宋" w:hAnsi="仿宋" w:eastAsia="仿宋"/>
          <w:b w:val="0"/>
          <w:bCs/>
          <w:sz w:val="32"/>
          <w:szCs w:val="32"/>
        </w:rPr>
        <w:t>公示后进行资金发放。</w:t>
      </w:r>
    </w:p>
    <w:p>
      <w:pPr>
        <w:numPr>
          <w:ilvl w:val="0"/>
          <w:numId w:val="0"/>
        </w:num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资金发放:</w:t>
      </w:r>
      <w:r>
        <w:rPr>
          <w:rFonts w:hint="eastAsia" w:ascii="仿宋" w:hAnsi="仿宋" w:eastAsia="仿宋"/>
          <w:sz w:val="32"/>
          <w:szCs w:val="32"/>
        </w:rPr>
        <w:t xml:space="preserve"> 国家助学金资金下拨到学校后，学校按照助学金的发放标准，</w:t>
      </w:r>
      <w:r>
        <w:rPr>
          <w:rFonts w:hint="eastAsia" w:ascii="仿宋" w:hAnsi="仿宋" w:eastAsia="仿宋" w:cs="宋体"/>
          <w:bCs/>
          <w:color w:val="000000"/>
          <w:kern w:val="0"/>
          <w:sz w:val="32"/>
          <w:szCs w:val="32"/>
          <w:lang w:eastAsia="zh-CN"/>
        </w:rPr>
        <w:t>通过</w:t>
      </w:r>
      <w:r>
        <w:rPr>
          <w:rFonts w:hint="eastAsia" w:ascii="仿宋" w:hAnsi="仿宋" w:eastAsia="仿宋" w:cs="宋体"/>
          <w:bCs/>
          <w:color w:val="000000"/>
          <w:kern w:val="0"/>
          <w:sz w:val="32"/>
          <w:szCs w:val="32"/>
        </w:rPr>
        <w:t>银行发放至受资助学生</w:t>
      </w:r>
      <w:r>
        <w:rPr>
          <w:rFonts w:hint="eastAsia" w:ascii="仿宋" w:hAnsi="仿宋" w:eastAsia="仿宋"/>
          <w:sz w:val="32"/>
          <w:szCs w:val="32"/>
        </w:rPr>
        <w:t>账户。</w:t>
      </w:r>
    </w:p>
    <w:p>
      <w:pPr>
        <w:numPr>
          <w:ilvl w:val="0"/>
          <w:numId w:val="0"/>
        </w:numPr>
        <w:spacing w:line="560" w:lineRule="exact"/>
        <w:ind w:firstLine="643" w:firstLineChars="200"/>
        <w:rPr>
          <w:rStyle w:val="4"/>
          <w:rFonts w:hint="eastAsia" w:ascii="仿宋" w:hAnsi="仿宋" w:eastAsia="仿宋" w:cs="仿宋"/>
          <w:b/>
          <w:bCs w:val="0"/>
          <w:spacing w:val="23"/>
          <w:sz w:val="32"/>
          <w:szCs w:val="32"/>
          <w:shd w:val="clear" w:color="auto" w:fill="FFFFFF"/>
          <w:lang w:eastAsia="zh-CN"/>
        </w:rPr>
      </w:pPr>
      <w:r>
        <w:rPr>
          <w:rFonts w:hint="eastAsia" w:ascii="仿宋" w:hAnsi="仿宋" w:eastAsia="仿宋"/>
          <w:b/>
          <w:color w:val="auto"/>
          <w:sz w:val="32"/>
          <w:szCs w:val="32"/>
          <w:lang w:val="en-US" w:eastAsia="zh-CN"/>
        </w:rPr>
        <w:t>2.</w:t>
      </w:r>
      <w:r>
        <w:rPr>
          <w:rFonts w:hint="eastAsia" w:ascii="仿宋" w:hAnsi="仿宋" w:eastAsia="仿宋"/>
          <w:b/>
          <w:color w:val="auto"/>
          <w:sz w:val="32"/>
          <w:szCs w:val="32"/>
          <w:lang w:eastAsia="zh-CN"/>
        </w:rPr>
        <w:t>中职</w:t>
      </w:r>
      <w:r>
        <w:rPr>
          <w:rStyle w:val="4"/>
          <w:rFonts w:hint="eastAsia" w:ascii="仿宋" w:hAnsi="仿宋" w:eastAsia="仿宋" w:cs="仿宋"/>
          <w:b/>
          <w:bCs w:val="0"/>
          <w:spacing w:val="23"/>
          <w:sz w:val="32"/>
          <w:szCs w:val="32"/>
          <w:shd w:val="clear" w:color="auto" w:fill="FFFFFF"/>
        </w:rPr>
        <w:t>国家奖学金</w:t>
      </w:r>
      <w:r>
        <w:rPr>
          <w:rStyle w:val="4"/>
          <w:rFonts w:hint="eastAsia" w:ascii="仿宋" w:hAnsi="仿宋" w:eastAsia="仿宋" w:cs="仿宋"/>
          <w:b/>
          <w:bCs w:val="0"/>
          <w:spacing w:val="23"/>
          <w:sz w:val="32"/>
          <w:szCs w:val="32"/>
          <w:shd w:val="clear" w:color="auto" w:fill="FFFFFF"/>
          <w:lang w:eastAsia="zh-CN"/>
        </w:rPr>
        <w:t>政策。</w:t>
      </w:r>
    </w:p>
    <w:p>
      <w:pPr>
        <w:numPr>
          <w:ilvl w:val="0"/>
          <w:numId w:val="0"/>
        </w:numPr>
        <w:spacing w:line="560" w:lineRule="exact"/>
        <w:ind w:firstLine="643" w:firstLineChars="200"/>
        <w:rPr>
          <w:rStyle w:val="4"/>
          <w:rFonts w:hint="eastAsia" w:ascii="仿宋" w:hAnsi="仿宋" w:eastAsia="仿宋" w:cs="仿宋"/>
          <w:b/>
          <w:bCs w:val="0"/>
          <w:spacing w:val="23"/>
          <w:sz w:val="32"/>
          <w:szCs w:val="32"/>
          <w:shd w:val="clear" w:color="auto" w:fill="FFFFFF"/>
          <w:lang w:eastAsia="zh-CN"/>
        </w:rPr>
      </w:pPr>
      <w:r>
        <w:rPr>
          <w:rFonts w:hint="eastAsia" w:ascii="仿宋" w:hAnsi="仿宋" w:eastAsia="仿宋"/>
          <w:b/>
          <w:sz w:val="32"/>
          <w:szCs w:val="32"/>
        </w:rPr>
        <w:t>政策依据：</w:t>
      </w:r>
      <w:r>
        <w:rPr>
          <w:rFonts w:hint="eastAsia" w:ascii="仿宋" w:hAnsi="仿宋" w:eastAsia="仿宋"/>
          <w:sz w:val="32"/>
          <w:szCs w:val="32"/>
          <w:lang w:eastAsia="zh-CN"/>
        </w:rPr>
        <w:t>《财政部教育部人力资源和社会保障部退役军人部中央军委国防动员部关于印发&lt;学生资助资金管理办法&gt;的通知》（财教[2021]310号）</w:t>
      </w:r>
    </w:p>
    <w:p>
      <w:pPr>
        <w:keepNext w:val="0"/>
        <w:keepLines w:val="0"/>
        <w:pageBreakBefore w:val="0"/>
        <w:widowControl/>
        <w:kinsoku/>
        <w:wordWrap/>
        <w:overflowPunct/>
        <w:topLinePunct w:val="0"/>
        <w:autoSpaceDE/>
        <w:autoSpaceDN/>
        <w:bidi w:val="0"/>
        <w:adjustRightInd w:val="0"/>
        <w:snapToGrid w:val="0"/>
        <w:spacing w:after="200" w:line="560" w:lineRule="exact"/>
        <w:ind w:firstLine="643" w:firstLineChars="200"/>
        <w:jc w:val="left"/>
        <w:textAlignment w:val="auto"/>
        <w:rPr>
          <w:rFonts w:hint="eastAsia" w:ascii="仿宋" w:hAnsi="仿宋" w:eastAsia="仿宋"/>
          <w:sz w:val="32"/>
          <w:szCs w:val="32"/>
        </w:rPr>
      </w:pPr>
      <w:r>
        <w:rPr>
          <w:rFonts w:hint="eastAsia" w:ascii="仿宋" w:hAnsi="仿宋" w:eastAsia="仿宋"/>
          <w:b/>
          <w:sz w:val="32"/>
          <w:szCs w:val="32"/>
        </w:rPr>
        <w:t>实施对象：</w:t>
      </w:r>
      <w:r>
        <w:rPr>
          <w:rFonts w:hint="eastAsia" w:ascii="仿宋" w:hAnsi="仿宋" w:eastAsia="仿宋"/>
          <w:sz w:val="32"/>
          <w:szCs w:val="32"/>
        </w:rPr>
        <w:t>中职国家奖学金由中央财政出资设立，</w:t>
      </w:r>
      <w:r>
        <w:rPr>
          <w:rStyle w:val="4"/>
          <w:rFonts w:hint="eastAsia" w:ascii="仿宋" w:hAnsi="仿宋" w:eastAsia="仿宋" w:cs="仿宋"/>
          <w:b w:val="0"/>
          <w:bCs/>
          <w:spacing w:val="23"/>
          <w:sz w:val="32"/>
          <w:szCs w:val="32"/>
          <w:shd w:val="clear" w:color="auto" w:fill="FFFFFF"/>
        </w:rPr>
        <w:t>资助对象为中职</w:t>
      </w:r>
      <w:r>
        <w:rPr>
          <w:rFonts w:hint="eastAsia" w:ascii="仿宋" w:hAnsi="仿宋" w:eastAsia="仿宋"/>
          <w:sz w:val="32"/>
          <w:szCs w:val="32"/>
        </w:rPr>
        <w:t>（含技工学校）</w:t>
      </w:r>
      <w:r>
        <w:rPr>
          <w:rStyle w:val="4"/>
          <w:rFonts w:hint="eastAsia" w:ascii="仿宋" w:hAnsi="仿宋" w:eastAsia="仿宋" w:cs="仿宋"/>
          <w:b w:val="0"/>
          <w:bCs/>
          <w:spacing w:val="23"/>
          <w:sz w:val="32"/>
          <w:szCs w:val="32"/>
          <w:shd w:val="clear" w:color="auto" w:fill="FFFFFF"/>
        </w:rPr>
        <w:t>二年级及以上</w:t>
      </w:r>
      <w:r>
        <w:rPr>
          <w:rFonts w:hint="eastAsia" w:ascii="仿宋" w:hAnsi="仿宋" w:eastAsia="仿宋"/>
          <w:sz w:val="32"/>
          <w:szCs w:val="32"/>
        </w:rPr>
        <w:t>全日制在校生中特别优秀的学生</w:t>
      </w:r>
      <w:r>
        <w:rPr>
          <w:rFonts w:hint="eastAsia" w:ascii="仿宋" w:hAnsi="仿宋" w:eastAsia="仿宋"/>
          <w:sz w:val="32"/>
          <w:szCs w:val="32"/>
          <w:lang w:eastAsia="zh-CN"/>
        </w:rPr>
        <w:t>，名额由自治区教育厅分配</w:t>
      </w:r>
      <w:r>
        <w:rPr>
          <w:rFonts w:hint="eastAsia" w:ascii="仿宋" w:hAnsi="仿宋" w:eastAsia="仿宋"/>
          <w:sz w:val="32"/>
          <w:szCs w:val="32"/>
        </w:rPr>
        <w:t>，奖励标准为每生每年6000元。申请中等职业教育国家奖学金的基本条件：具有中华人民共和国国籍；热爱社会主义祖国，拥护中国共产党的领导，具有良好的思想政治素质；遵守法律法规，遵守《中等职业学校学生公约》，遵守学校规章制度；诚实守信，道德品质良好；在校期间学习成绩、道德风尚、专业技能、社会实践、创新能力、综合素质等方面表现特别优秀；学习成绩排名位于年级同一专业前5%（含5%）的学生可以申请中职国家奖学金。学习成绩排名位于年级同一专业排名未进入5%,但达到前30%（含30%）且在道德风尚、专业技能、社会实践、创新能力、综合素质等方面表现特别突出的，可以申请中职国家奖学金，同时需要提交详细的证明材料。证明材料须由学校审核后加盖学校公章。学习成绩排名未进入</w:t>
      </w:r>
      <w:r>
        <w:rPr>
          <w:rFonts w:hint="eastAsia" w:ascii="仿宋" w:hAnsi="仿宋" w:eastAsia="仿宋"/>
          <w:sz w:val="32"/>
          <w:szCs w:val="32"/>
          <w:lang w:eastAsia="zh-CN"/>
        </w:rPr>
        <w:t>前</w:t>
      </w:r>
      <w:bookmarkStart w:id="0" w:name="_GoBack"/>
      <w:bookmarkEnd w:id="0"/>
      <w:r>
        <w:rPr>
          <w:rFonts w:hint="eastAsia" w:ascii="仿宋" w:hAnsi="仿宋" w:eastAsia="仿宋"/>
          <w:sz w:val="32"/>
          <w:szCs w:val="32"/>
        </w:rPr>
        <w:t>30%的，不具备申请资格。</w:t>
      </w:r>
    </w:p>
    <w:p>
      <w:pPr>
        <w:keepNext w:val="0"/>
        <w:keepLines w:val="0"/>
        <w:pageBreakBefore w:val="0"/>
        <w:widowControl/>
        <w:kinsoku/>
        <w:wordWrap/>
        <w:overflowPunct/>
        <w:topLinePunct w:val="0"/>
        <w:autoSpaceDE/>
        <w:autoSpaceDN/>
        <w:bidi w:val="0"/>
        <w:adjustRightInd w:val="0"/>
        <w:snapToGrid w:val="0"/>
        <w:spacing w:after="200" w:line="560" w:lineRule="exact"/>
        <w:ind w:firstLine="643" w:firstLineChars="200"/>
        <w:jc w:val="left"/>
        <w:textAlignment w:val="auto"/>
        <w:rPr>
          <w:rFonts w:hint="eastAsia" w:ascii="仿宋" w:hAnsi="仿宋" w:eastAsia="仿宋"/>
          <w:sz w:val="32"/>
          <w:szCs w:val="32"/>
          <w:lang w:eastAsia="zh-CN"/>
        </w:rPr>
      </w:pPr>
      <w:r>
        <w:rPr>
          <w:rFonts w:hint="eastAsia" w:ascii="仿宋" w:hAnsi="仿宋" w:eastAsia="仿宋"/>
          <w:b/>
          <w:bCs/>
          <w:sz w:val="32"/>
          <w:szCs w:val="32"/>
          <w:lang w:eastAsia="zh-CN"/>
        </w:rPr>
        <w:t>申报流程：</w:t>
      </w:r>
      <w:r>
        <w:rPr>
          <w:rFonts w:hint="eastAsia" w:ascii="仿宋" w:hAnsi="仿宋" w:eastAsia="仿宋"/>
          <w:sz w:val="32"/>
          <w:szCs w:val="32"/>
          <w:lang w:eastAsia="zh-CN"/>
        </w:rPr>
        <w:t>学生申请后由班级初审，学校评审小组对上报的评审材料进行书面审查，由评审委员会汇总评审结果，在校内进行公示无异议之后报送至教育厅，由教育厅将奖学金发放至学生银行卡。</w:t>
      </w:r>
    </w:p>
    <w:p>
      <w:pPr>
        <w:keepNext w:val="0"/>
        <w:keepLines w:val="0"/>
        <w:pageBreakBefore w:val="0"/>
        <w:widowControl/>
        <w:kinsoku/>
        <w:wordWrap/>
        <w:overflowPunct/>
        <w:topLinePunct w:val="0"/>
        <w:autoSpaceDE/>
        <w:autoSpaceDN/>
        <w:bidi w:val="0"/>
        <w:adjustRightInd w:val="0"/>
        <w:snapToGrid w:val="0"/>
        <w:spacing w:after="200" w:line="560" w:lineRule="exact"/>
        <w:ind w:firstLine="643" w:firstLineChars="200"/>
        <w:jc w:val="left"/>
        <w:textAlignment w:val="auto"/>
        <w:rPr>
          <w:rFonts w:hint="eastAsia" w:ascii="仿宋" w:hAnsi="仿宋" w:eastAsia="仿宋"/>
          <w:b/>
          <w:sz w:val="32"/>
          <w:szCs w:val="32"/>
        </w:rPr>
      </w:pPr>
      <w:r>
        <w:rPr>
          <w:rFonts w:hint="eastAsia" w:ascii="仿宋" w:hAnsi="仿宋" w:eastAsia="仿宋"/>
          <w:b/>
          <w:sz w:val="32"/>
          <w:szCs w:val="32"/>
          <w:lang w:val="en-US" w:eastAsia="zh-CN"/>
        </w:rPr>
        <w:t>3.</w:t>
      </w:r>
      <w:r>
        <w:rPr>
          <w:rFonts w:hint="eastAsia" w:ascii="仿宋" w:hAnsi="仿宋" w:eastAsia="仿宋"/>
          <w:b/>
          <w:sz w:val="32"/>
          <w:szCs w:val="32"/>
        </w:rPr>
        <w:t>顶岗实习政策。</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政策依据：《</w:t>
      </w:r>
      <w:r>
        <w:rPr>
          <w:rFonts w:hint="eastAsia" w:ascii="仿宋" w:hAnsi="仿宋" w:eastAsia="仿宋"/>
          <w:sz w:val="32"/>
          <w:szCs w:val="32"/>
        </w:rPr>
        <w:t>教育部 财政部关于印发&lt;中等职业学校学生实习管理办法&gt;的通知</w:t>
      </w:r>
      <w:r>
        <w:rPr>
          <w:rFonts w:hint="eastAsia" w:ascii="仿宋" w:hAnsi="仿宋" w:eastAsia="仿宋"/>
          <w:b/>
          <w:sz w:val="32"/>
          <w:szCs w:val="32"/>
        </w:rPr>
        <w:t>》(</w:t>
      </w:r>
      <w:r>
        <w:rPr>
          <w:rFonts w:hint="eastAsia" w:ascii="仿宋" w:hAnsi="仿宋" w:eastAsia="仿宋"/>
          <w:sz w:val="32"/>
          <w:szCs w:val="32"/>
        </w:rPr>
        <w:t>教职成[2007]4号)</w:t>
      </w:r>
    </w:p>
    <w:p>
      <w:pPr>
        <w:spacing w:line="560" w:lineRule="exact"/>
        <w:ind w:firstLine="643" w:firstLineChars="200"/>
        <w:rPr>
          <w:rFonts w:hint="eastAsia" w:ascii="仿宋" w:hAnsi="仿宋" w:eastAsia="仿宋"/>
          <w:sz w:val="32"/>
          <w:szCs w:val="32"/>
        </w:rPr>
      </w:pPr>
      <w:r>
        <w:rPr>
          <w:rFonts w:hint="eastAsia" w:ascii="仿宋" w:hAnsi="仿宋" w:eastAsia="仿宋"/>
          <w:b/>
          <w:sz w:val="32"/>
          <w:szCs w:val="32"/>
        </w:rPr>
        <w:t>实施对象</w:t>
      </w:r>
      <w:r>
        <w:rPr>
          <w:rFonts w:hint="eastAsia" w:ascii="仿宋" w:hAnsi="仿宋" w:eastAsia="仿宋"/>
          <w:sz w:val="32"/>
          <w:szCs w:val="32"/>
        </w:rPr>
        <w:t>：青铜峡市职教中心三年级学生，由学校联系企业，安排学生到单位顶岗实习，企业支付一定报酬，用于学生学习和生活费用。</w:t>
      </w:r>
    </w:p>
    <w:p>
      <w:pPr>
        <w:spacing w:line="560" w:lineRule="exact"/>
        <w:ind w:firstLine="643" w:firstLineChars="200"/>
        <w:rPr>
          <w:rFonts w:hint="eastAsia" w:ascii="仿宋" w:hAnsi="仿宋" w:eastAsia="仿宋"/>
          <w:b/>
          <w:bCs/>
          <w:color w:val="5B9BD5" w:themeColor="accent1"/>
          <w:sz w:val="32"/>
          <w:szCs w:val="32"/>
          <w:lang w:eastAsia="zh-CN"/>
          <w14:textFill>
            <w14:solidFill>
              <w14:schemeClr w14:val="accent1"/>
            </w14:solidFill>
          </w14:textFill>
        </w:rPr>
      </w:pPr>
      <w:r>
        <w:rPr>
          <w:rFonts w:hint="eastAsia" w:ascii="仿宋" w:hAnsi="仿宋" w:eastAsia="仿宋"/>
          <w:b/>
          <w:bCs/>
          <w:color w:val="C00000"/>
          <w:sz w:val="32"/>
          <w:szCs w:val="32"/>
          <w:lang w:val="en-US" w:eastAsia="zh-CN"/>
        </w:rPr>
        <w:t>4.</w:t>
      </w:r>
      <w:r>
        <w:rPr>
          <w:rFonts w:hint="eastAsia" w:ascii="仿宋" w:hAnsi="仿宋" w:eastAsia="仿宋"/>
          <w:b/>
          <w:bCs/>
          <w:color w:val="C00000"/>
          <w:sz w:val="32"/>
          <w:szCs w:val="32"/>
          <w:lang w:eastAsia="zh-CN"/>
        </w:rPr>
        <w:t>雨露计划。</w:t>
      </w:r>
      <w:r>
        <w:rPr>
          <w:rFonts w:hint="eastAsia" w:ascii="仿宋" w:hAnsi="仿宋" w:eastAsia="仿宋"/>
          <w:b/>
          <w:bCs/>
          <w:color w:val="5B9BD5" w:themeColor="accent1"/>
          <w:sz w:val="32"/>
          <w:szCs w:val="32"/>
          <w:lang w:eastAsia="zh-CN"/>
          <w14:textFill>
            <w14:solidFill>
              <w14:schemeClr w14:val="accent1"/>
            </w14:solidFill>
          </w14:textFill>
        </w:rPr>
        <w:t>（乡村振兴局实施）</w:t>
      </w:r>
    </w:p>
    <w:p>
      <w:pPr>
        <w:jc w:val="both"/>
        <w:rPr>
          <w:rFonts w:hint="eastAsia" w:ascii="方正小标宋简体" w:hAnsi="方正小标宋简体" w:eastAsia="方正小标宋简体" w:cs="方正小标宋简体"/>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yMjQ0ZjA2N2Y5ZWZiNjIzMjkwNDQ5MjI5MWFkNGIifQ=="/>
  </w:docVars>
  <w:rsids>
    <w:rsidRoot w:val="19E6209F"/>
    <w:rsid w:val="19E6209F"/>
    <w:rsid w:val="4126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1154</Words>
  <Characters>1218</Characters>
  <Lines>0</Lines>
  <Paragraphs>0</Paragraphs>
  <TotalTime>3</TotalTime>
  <ScaleCrop>false</ScaleCrop>
  <LinksUpToDate>false</LinksUpToDate>
  <CharactersWithSpaces>1221</CharactersWithSpaces>
  <Application>WPS Office_11.1.0.12978_F1E327BC-269C-435d-A152-05C5408002CA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2022-12-01T08:42:00Z</dcterms:created>
  <dc:creator>一直在i</dc:creator>
  <cp:lastModifiedBy>张莹</cp:lastModifiedBy>
  <dcterms:modified xsi:type="dcterms:W3CDTF">2022-12-02T03:17:04Z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2052-11.1.0.12978</vt:lpwstr>
  </property>
  <property fmtid="{D5CDD505-2E9C-101B-9397-08002B2CF9AE}" pid="3" name="ICV">
    <vt:lpwstr>03241762F56C45838D35C691F29A8307</vt:lpwstr>
  </property>
</Properties>
</file>