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jc w:val="both"/>
        <w:textAlignment w:val="bottom"/>
        <w:rPr>
          <w:rFonts w:ascii="Times New Roman" w:hAnsi="Times New Roman" w:eastAsia="方正小标宋简体"/>
          <w:color w:val="FF0000"/>
          <w:spacing w:val="-20"/>
          <w:w w:val="75"/>
          <w:sz w:val="80"/>
          <w:szCs w:val="80"/>
        </w:rPr>
      </w:pPr>
      <w:r>
        <w:rPr>
          <w:rFonts w:ascii="Times New Roman" w:hAnsi="Times New Roman" w:eastAsia="方正小标宋简体"/>
          <w:color w:val="FF0000"/>
          <w:spacing w:val="-20"/>
          <w:w w:val="75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546735</wp:posOffset>
                </wp:positionV>
                <wp:extent cx="1331595" cy="1326515"/>
                <wp:effectExtent l="5080" t="4445" r="15875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eastAsia="方正小标宋简体"/>
                                <w:color w:val="FF0000"/>
                                <w:w w:val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80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45pt;margin-top:43.05pt;height:104.45pt;width:104.85pt;z-index:251658240;mso-width-relative:page;mso-height-relative:page;" fillcolor="#FFFFFF" filled="t" stroked="t" coordsize="21600,21600" o:gfxdata="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uWhDtkAAAAKAQAADwAAAAAAAAABACAAAAAiAAAAZHJzL2Rvd25yZXYueG1sUEsBAhQAFAAAAAgA&#10;h07iQLp1z2vrAQAA6QMAAA4AAAAAAAAAAQAgAAAAKAEAAGRycy9lMm9Eb2MueG1sUEsFBgAAAAAG&#10;AAYAWQEAAIU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eastAsia="方正小标宋简体"/>
                          <w:color w:val="FF0000"/>
                          <w:w w:val="8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80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方正小标宋简体"/>
          <w:color w:val="FF0000"/>
          <w:spacing w:val="-20"/>
          <w:w w:val="75"/>
          <w:sz w:val="80"/>
          <w:szCs w:val="80"/>
          <w:lang w:eastAsia="zh-CN"/>
        </w:rPr>
        <w:t>青铜峡</w:t>
      </w:r>
      <w:r>
        <w:rPr>
          <w:rFonts w:ascii="Times New Roman" w:hAnsi="Times New Roman" w:eastAsia="方正小标宋简体"/>
          <w:color w:val="FF0000"/>
          <w:spacing w:val="-20"/>
          <w:w w:val="75"/>
          <w:sz w:val="80"/>
          <w:szCs w:val="80"/>
        </w:rPr>
        <w:t>市文化旅游体育广电局</w:t>
      </w:r>
    </w:p>
    <w:p>
      <w:pPr>
        <w:spacing w:line="1600" w:lineRule="exact"/>
        <w:jc w:val="both"/>
        <w:textAlignment w:val="bottom"/>
        <w:rPr>
          <w:rFonts w:ascii="Times New Roman" w:hAnsi="Times New Roman" w:eastAsia="方正小标宋简体"/>
          <w:color w:val="FF0000"/>
          <w:spacing w:val="-20"/>
          <w:w w:val="104"/>
          <w:sz w:val="80"/>
          <w:szCs w:val="80"/>
        </w:rPr>
      </w:pPr>
      <w:r>
        <w:rPr>
          <w:rFonts w:hint="eastAsia" w:ascii="Times New Roman" w:hAnsi="Times New Roman" w:eastAsia="方正小标宋简体"/>
          <w:color w:val="FF0000"/>
          <w:spacing w:val="44"/>
          <w:w w:val="104"/>
          <w:sz w:val="80"/>
          <w:szCs w:val="80"/>
          <w:lang w:eastAsia="zh-CN"/>
        </w:rPr>
        <w:t>青铜峡</w:t>
      </w:r>
      <w:r>
        <w:rPr>
          <w:rFonts w:ascii="Times New Roman" w:hAnsi="Times New Roman" w:eastAsia="方正小标宋简体"/>
          <w:color w:val="FF0000"/>
          <w:spacing w:val="44"/>
          <w:w w:val="104"/>
          <w:sz w:val="80"/>
          <w:szCs w:val="80"/>
        </w:rPr>
        <w:t>市消防</w:t>
      </w:r>
      <w:r>
        <w:rPr>
          <w:rFonts w:hint="eastAsia" w:ascii="Times New Roman" w:hAnsi="Times New Roman" w:eastAsia="方正小标宋简体"/>
          <w:color w:val="FF0000"/>
          <w:spacing w:val="44"/>
          <w:w w:val="104"/>
          <w:sz w:val="80"/>
          <w:szCs w:val="80"/>
          <w:lang w:eastAsia="zh-CN"/>
        </w:rPr>
        <w:t>大</w:t>
      </w:r>
      <w:r>
        <w:rPr>
          <w:rFonts w:ascii="Times New Roman" w:hAnsi="Times New Roman" w:eastAsia="方正小标宋简体"/>
          <w:color w:val="FF0000"/>
          <w:spacing w:val="12"/>
          <w:w w:val="104"/>
          <w:sz w:val="80"/>
          <w:szCs w:val="80"/>
        </w:rPr>
        <w:t>队</w:t>
      </w:r>
    </w:p>
    <w:p>
      <w:pPr>
        <w:spacing w:line="516" w:lineRule="atLeast"/>
        <w:textAlignment w:val="bottom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青</w:t>
      </w:r>
      <w:r>
        <w:rPr>
          <w:rFonts w:ascii="Times New Roman" w:hAnsi="Times New Roman" w:eastAsia="方正仿宋_GBK"/>
          <w:sz w:val="32"/>
          <w:szCs w:val="32"/>
        </w:rPr>
        <w:t>文旅体广发</w:t>
      </w:r>
      <w:r>
        <w:rPr>
          <w:rFonts w:ascii="Times New Roman" w:hAnsi="Times New Roman" w:eastAsia="方正仿宋_GBK"/>
          <w:color w:val="auto"/>
          <w:sz w:val="32"/>
          <w:szCs w:val="32"/>
        </w:rPr>
        <w:t>〔2019〕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147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小标宋简体"/>
          <w:color w:val="FF0000"/>
          <w:sz w:val="44"/>
          <w:szCs w:val="44"/>
          <w:u w:val="thick"/>
        </w:rPr>
      </w:pPr>
      <w:r>
        <w:rPr>
          <w:rFonts w:ascii="Times New Roman" w:hAnsi="Times New Roman" w:eastAsia="方正小标宋简体"/>
          <w:color w:val="FF0000"/>
          <w:sz w:val="44"/>
          <w:szCs w:val="44"/>
          <w:u w:val="thick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关于印发《全市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文博建筑火灾隐患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排查整治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工作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FF0000"/>
          <w:sz w:val="32"/>
          <w:szCs w:val="32"/>
          <w:u w:val="thic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各文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为深入推进“防风险、保平安、迎大庆”消防安全执法检查专项行动，进一步加强和改进文博建筑消防安全工作，有效预防和遏制文物火灾事故发生，以实际行动迎接新中国成立70周年，根据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吴忠市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文化旅游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体育广电局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吴忠市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消防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支队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《文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博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建筑火灾隐患排查整治工作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方案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》的通知（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吴文旅体广发〔2019〕56号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要求，市文化旅游体育广电局联合市消防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大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队制定了《关于开展全市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文博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建筑火灾隐患排查整治工作方案》，现印发你们，请结合本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实际，认真组织实施。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640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青铜峡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 xml:space="preserve">市文化旅游体育广电局   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青铜峡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市消防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大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 xml:space="preserve">队 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（代章）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jc w:val="center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 xml:space="preserve">                   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jc w:val="center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2019年7月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jc w:val="both"/>
        <w:textAlignment w:val="auto"/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>(此件公开发布)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kern w:val="3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kern w:val="3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kern w:val="3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kern w:val="3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kern w:val="3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kern w:val="3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kern w:val="32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文博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建筑火灾隐患排查整治工作方案</w:t>
      </w:r>
    </w:p>
    <w:p>
      <w:pPr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按照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吴忠市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文化旅游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体育广电局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吴忠市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消防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支队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《文物建筑火灾隐患排查整治工作的通知》（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吴文旅体广发〔2019〕56号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）要求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和“防风险、保平安、迎大庆”消防安全执法检查专项行动要求，进一步加强和改进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文博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建筑消防安全工作，决定2019年7月至9月，在全市部署开展文博建筑火灾隐患排查整治工作，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认真落实“预防为主、防消结合”的方针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，督促文物、博物馆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单位落实消防安全责任，集中排查整治各类火灾隐患和问题，进一步强化防范措施，提高消防安全管理水平，增强火灾防控能力，有效预防和遏制火灾事故发生，确保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文物、博物馆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单位消防安全。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青铜峡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市成立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文博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建筑火灾隐患排查整治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组  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市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文化旅游体育广电局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局长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魏  杉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市消防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队长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副组长：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平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市旅游产业中心  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倪万国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市消防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textAlignment w:val="auto"/>
        <w:outlineLvl w:val="9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伟 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市文物管理所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所长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市消防大队、文物管理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大峡谷旅游景区、文化市场管理室责任人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领导小组办公室设在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文化市场管理办公室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任办公室主任，主要负责传达部署各项工作任务，协调开展排查整治工作，收集、整理和上报有关工作情况。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kern w:val="3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工作时间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即日起至9月15日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四、排查整治范围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具有火灾风险的不可移动文物、各博物馆和纪念馆等文物收藏单位，重点</w:t>
      </w:r>
      <w:r>
        <w:rPr>
          <w:rFonts w:hint="eastAsia" w:ascii="方正仿宋_GBK" w:hAnsi="方正仿宋_GBK" w:eastAsia="方正仿宋_GBK" w:cs="方正仿宋_GBK"/>
          <w:spacing w:val="-12"/>
          <w:sz w:val="32"/>
          <w:szCs w:val="32"/>
        </w:rPr>
        <w:t>是古建筑群、宗教活动场所、博物馆、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文博开放单位和文物保护工程工地等火灾诱因较多的单位和场所。重点列入排查整治的单位有：青铜峡市108塔旅游景区。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五、整治重点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照《文物建筑消防安全管理十项规定》《文物单位消防安全检查规程》《文物建筑防火设计导则（试行）》《文物建筑电气防火导则（试行）》《古城镇和村寨火灾防控技术指导意见》《全区文物单位消防安全标准化管理评查细则》等有关文物消防安全的标准规范和政策文件等，以及重点排查整治的火灾隐患和消防安全问题（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（一）动员部署及自查自改（即日起至7月20日）。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市文物保护单位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本方案要求，对照整治标准，自主评估风险、自主检查安全、自主整改隐患，向社会公开消防安全责任人、管理人及其职责，并承诺本场所不存在突出风险或者已落实防范措施。无管理使用单位的不可移动文物，由文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组织自查自改。自查自改要填写《火灾隐患排查整治记录表》（附件2），并存档备查。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（二）重点检查及督导问效（7月21日至8月15日）。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市文化旅游体育广电局和市消防大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指导和督促本辖区内各文物、博物馆单位开展自查自改，严格落实整改措施。同时，对重点文物保护单位火灾隐患排查整治工作情况开展联合抽查检查。消防部门要加强执法检查，提供技术服务，加强对文博建筑保护单位专职消防队、微型消防站的实地指导，强化现场拉动考评，督促制定应急疏散预案，提高火灾处置能力。对久拖不改的重大火灾隐患，要坚决落实挂牌一批、公布一批、曝光一批、处理一批“四个一批”要求，并约谈有关单位负责人。对发生火灾事故的，要严格实施责任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78" w:firstLineChars="18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（三）严格整改及宣传培训（8月16日至8月31日）。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文物单位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要认真梳理排查发现的安全隐患和突出问题，列出整改措施和责任清单，照单整改；对不能立即整改到位的，要制定整改方案，限期整改。在火灾隐患未消除之前，文物、博物馆单位应当落实防范措施，保障消防安全。不能确保消防安全，随时可能引发火灾或者一旦发生火灾将造成严重影响的，要将危险部位或者场所封闭整改。文物、消防部门要结合近年来文博建筑火灾案例制作专题警示教育片，提示火灾风险隐患，普及消防安全知识。加大对文物保护单位消防安全责任人、管理人的培训约谈力度，使其知责、明责、尽责，培训一批消防安全“明白人”。督促文博建筑管理使用单位开展内部全员消防安全培训和演练，提升消防安全意识和自防自救能力。及时总结本辖区内文博建筑火灾隐患排查整治工作情况，分析梳理问题，提出工作措施，认真督促检查，认真填写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文博建筑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火灾隐患排查整治工作汇总情况表》（附件3），于9月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日前分别报市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文化旅游体育广电局和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青铜峡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市消防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队。联系人及联系方式：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青铜峡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市文化旅游体育广电局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电  话：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>3059285   13895033608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邮  箱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>:qtxgzg@163.com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eastAsia="zh-CN"/>
        </w:rPr>
        <w:t>青铜峡市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消防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队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电  话：</w:t>
      </w:r>
      <w:r>
        <w:rPr>
          <w:rFonts w:hint="eastAsia" w:ascii="方正仿宋_GBK" w:hAnsi="方正仿宋_GBK" w:eastAsia="方正仿宋_GBK" w:cs="方正仿宋_GBK"/>
          <w:kern w:val="32"/>
          <w:sz w:val="32"/>
          <w:szCs w:val="32"/>
          <w:lang w:val="en-US" w:eastAsia="zh-CN"/>
        </w:rPr>
        <w:t>17795328400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32"/>
          <w:sz w:val="32"/>
          <w:szCs w:val="32"/>
        </w:rPr>
        <w:t>邮  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仿宋_GBK" w:cs="方正黑体_GBK"/>
          <w:sz w:val="44"/>
          <w:szCs w:val="44"/>
        </w:rPr>
      </w:pPr>
    </w:p>
    <w:sectPr>
      <w:footerReference r:id="rId3" w:type="default"/>
      <w:pgSz w:w="11907" w:h="16839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4694F"/>
    <w:rsid w:val="099B6571"/>
    <w:rsid w:val="0C4C699C"/>
    <w:rsid w:val="196A618A"/>
    <w:rsid w:val="2741512F"/>
    <w:rsid w:val="2CD4694F"/>
    <w:rsid w:val="47E35EB3"/>
    <w:rsid w:val="4FD635CC"/>
    <w:rsid w:val="52C20ACC"/>
    <w:rsid w:val="5881757C"/>
    <w:rsid w:val="59092CEA"/>
    <w:rsid w:val="6DE44E44"/>
    <w:rsid w:val="76444A5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青铜峡市市委办公室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2019-07-22T06:58:00Z</dcterms:created>
  <dc:creator>Administrator</dc:creator>
  <cp:lastModifiedBy>Administrator</cp:lastModifiedBy>
  <cp:lastPrinted>2019-07-24T08:38:00Z</cp:lastPrinted>
  <dcterms:modified xsi:type="dcterms:W3CDTF">2019-08-28T02:23:18Z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