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eastAsia="zh-CN"/>
        </w:rPr>
        <w:t>附件</w:t>
      </w:r>
      <w:r>
        <w:rPr>
          <w:rFonts w:hint="eastAsia" w:ascii="黑体" w:hAnsi="黑体" w:eastAsia="黑体" w:cs="黑体"/>
          <w:bCs/>
          <w:color w:val="000000"/>
          <w:sz w:val="32"/>
          <w:szCs w:val="32"/>
          <w:highlight w:val="none"/>
          <w:lang w:val="en-US" w:eastAsia="zh-CN"/>
        </w:rPr>
        <w:t>5</w:t>
      </w:r>
    </w:p>
    <w:p>
      <w:pPr>
        <w:spacing w:line="600" w:lineRule="exact"/>
        <w:jc w:val="center"/>
        <w:rPr>
          <w:rFonts w:hint="eastAsia" w:ascii="方正小标宋简体" w:eastAsia="方正小标宋简体"/>
          <w:bCs/>
          <w:color w:val="000000"/>
          <w:sz w:val="44"/>
          <w:szCs w:val="44"/>
          <w:highlight w:val="none"/>
          <w:lang w:eastAsia="zh-CN"/>
        </w:rPr>
      </w:pPr>
      <w:r>
        <w:rPr>
          <w:rFonts w:hint="eastAsia" w:ascii="方正小标宋简体" w:eastAsia="方正小标宋简体"/>
          <w:bCs/>
          <w:color w:val="000000"/>
          <w:sz w:val="44"/>
          <w:szCs w:val="44"/>
          <w:highlight w:val="none"/>
          <w:lang w:val="en-US" w:eastAsia="zh-CN"/>
        </w:rPr>
        <w:t>青铜峡市</w:t>
      </w:r>
      <w:r>
        <w:rPr>
          <w:rFonts w:hint="eastAsia" w:ascii="方正小标宋简体" w:eastAsia="方正小标宋简体"/>
          <w:bCs/>
          <w:color w:val="000000"/>
          <w:sz w:val="44"/>
          <w:szCs w:val="44"/>
          <w:highlight w:val="none"/>
        </w:rPr>
        <w:t>202</w:t>
      </w:r>
      <w:r>
        <w:rPr>
          <w:rFonts w:hint="eastAsia" w:ascii="方正小标宋简体" w:eastAsia="方正小标宋简体"/>
          <w:bCs/>
          <w:color w:val="000000"/>
          <w:sz w:val="44"/>
          <w:szCs w:val="44"/>
          <w:highlight w:val="none"/>
          <w:lang w:val="en-US" w:eastAsia="zh-CN"/>
        </w:rPr>
        <w:t>5</w:t>
      </w:r>
      <w:r>
        <w:rPr>
          <w:rFonts w:hint="eastAsia" w:ascii="方正小标宋简体" w:eastAsia="方正小标宋简体"/>
          <w:bCs/>
          <w:color w:val="000000"/>
          <w:sz w:val="44"/>
          <w:szCs w:val="44"/>
          <w:highlight w:val="none"/>
        </w:rPr>
        <w:t>年医疗国家随机监督抽查</w:t>
      </w:r>
      <w:r>
        <w:rPr>
          <w:rFonts w:hint="eastAsia" w:ascii="方正小标宋简体" w:eastAsia="方正小标宋简体"/>
          <w:bCs/>
          <w:color w:val="000000"/>
          <w:sz w:val="44"/>
          <w:szCs w:val="44"/>
          <w:highlight w:val="none"/>
          <w:lang w:eastAsia="zh-CN"/>
        </w:rPr>
        <w:t>计划</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color w:val="000000"/>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16" w:firstLineChars="200"/>
        <w:textAlignment w:val="auto"/>
        <w:outlineLvl w:val="2"/>
        <w:rPr>
          <w:rFonts w:hint="eastAsia" w:ascii="黑体" w:hAnsi="黑体" w:eastAsia="黑体" w:cs="黑体"/>
          <w:b w:val="0"/>
          <w:bCs w:val="0"/>
          <w:color w:val="000000"/>
          <w:sz w:val="31"/>
          <w:szCs w:val="31"/>
          <w:highlight w:val="none"/>
        </w:rPr>
      </w:pPr>
      <w:r>
        <w:rPr>
          <w:rFonts w:hint="eastAsia" w:ascii="黑体" w:hAnsi="黑体" w:eastAsia="黑体" w:cs="黑体"/>
          <w:b w:val="0"/>
          <w:bCs w:val="0"/>
          <w:color w:val="000000"/>
          <w:spacing w:val="-1"/>
          <w:sz w:val="31"/>
          <w:szCs w:val="31"/>
          <w:highlight w:val="none"/>
        </w:rPr>
        <w:t>一、监督检查对象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抽查辖区医疗机构</w:t>
      </w:r>
      <w:r>
        <w:rPr>
          <w:rFonts w:hint="eastAsia" w:ascii="仿宋" w:hAnsi="仿宋" w:eastAsia="仿宋" w:cs="仿宋"/>
          <w:color w:val="000000"/>
          <w:sz w:val="32"/>
          <w:szCs w:val="32"/>
          <w:highlight w:val="none"/>
          <w:lang w:val="en-US" w:eastAsia="zh-CN"/>
        </w:rPr>
        <w:t>4家（胜利达诊所、丁继慧诊所、天一诊所、叶盛镇张庄村卫生室）</w:t>
      </w:r>
      <w:r>
        <w:rPr>
          <w:rFonts w:hint="eastAsia" w:ascii="仿宋" w:hAnsi="仿宋" w:eastAsia="仿宋" w:cs="仿宋"/>
          <w:color w:val="000000"/>
          <w:sz w:val="32"/>
          <w:szCs w:val="32"/>
          <w:highlight w:val="none"/>
          <w:lang w:val="zh-CN" w:eastAsia="zh-CN"/>
        </w:rPr>
        <w:t>；</w:t>
      </w:r>
      <w:r>
        <w:rPr>
          <w:rFonts w:hint="eastAsia" w:ascii="仿宋" w:hAnsi="仿宋" w:eastAsia="仿宋" w:cs="仿宋"/>
          <w:color w:val="000000"/>
          <w:sz w:val="32"/>
          <w:szCs w:val="32"/>
          <w:highlight w:val="none"/>
          <w:lang w:val="en-US" w:eastAsia="zh-CN"/>
        </w:rPr>
        <w:t>母婴保健技术服务机构2家（青铜峡市人民医院、青铜峡市妇幼保健计划生育服务中心）。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28" w:firstLineChars="200"/>
        <w:textAlignment w:val="auto"/>
        <w:outlineLvl w:val="2"/>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pacing w:val="-3"/>
          <w:sz w:val="32"/>
          <w:szCs w:val="32"/>
          <w:highlight w:val="none"/>
        </w:rPr>
        <w:t>二、监督检查内容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rPr>
          <w:rFonts w:hint="eastAsia" w:ascii="楷体" w:hAnsi="楷体" w:eastAsia="楷体" w:cs="楷体"/>
          <w:b/>
          <w:bCs/>
          <w:color w:val="000000"/>
          <w:sz w:val="32"/>
          <w:szCs w:val="32"/>
          <w:highlight w:val="none"/>
          <w:lang w:val="zh-CN" w:eastAsia="zh-CN"/>
        </w:rPr>
      </w:pPr>
      <w:r>
        <w:rPr>
          <w:rFonts w:hint="eastAsia" w:ascii="楷体" w:hAnsi="楷体" w:eastAsia="楷体" w:cs="楷体"/>
          <w:b/>
          <w:bCs/>
          <w:color w:val="000000"/>
          <w:sz w:val="32"/>
          <w:szCs w:val="32"/>
          <w:highlight w:val="none"/>
          <w:lang w:val="zh-CN" w:eastAsia="zh-CN"/>
        </w:rPr>
        <w:t>(一)医疗机构监督。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1.医疗机构资质(执业许可、校验或执业备案、开展诊疗活动与执业许可或备案范围符合情况)管理情况。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2.医疗卫生人员(医师、护士、医技人员执业资格、执业行为，医师、护士执业注册)管理情况。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3.药品(医疗用毒性药品、麻醉药品、精神药品、抗菌药物)和医疗器械管理情况。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4.医疗技术临床应用管理情况(限制类技术备案及数据信息报送情况、是否开展禁止类技术等)。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5.医疗文书(处方、病历、医学证明文件等)管理情况。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6.抽查重点病历情况(合理检查、合理用药、合理治疗、计费收费管理、医保基金使用等)。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7.生物医学研究(资质资格、登记备案、伦理审查等) 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8.政策落实情况(公立医疗机构不得开设营利性药店，向出资人、举办者分配或者变相分配收益；公立医疗机构医用耗材“零差率”销售；公立医疗机构医务人员薪酬不得与药品、耗材、检查、化验等收入挂钩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9.卫生健康系统涉及殡葬领域工作管理情况(死亡证明开具、亡故患者信息保护等)。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10.抽查医疗数据管理情况(恶意泄露、买卖患者就医信息等)。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11.抽查互联网诊疗管理情况(互联网医院及其所依托的实体医疗机构执业资质和互联网诊疗活动等)。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12.抽查欺诈骗保涉医行为情况(伪造病历或医学文书、虚构诊疗服务、无资质或超范围开展诊疗服务、冒用医师签名等)。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rPr>
          <w:rFonts w:hint="eastAsia" w:ascii="楷体" w:hAnsi="楷体" w:eastAsia="楷体" w:cs="楷体"/>
          <w:b/>
          <w:bCs/>
          <w:color w:val="000000"/>
          <w:sz w:val="32"/>
          <w:szCs w:val="32"/>
          <w:highlight w:val="none"/>
          <w:lang w:val="zh-CN" w:eastAsia="zh-CN"/>
        </w:rPr>
      </w:pPr>
      <w:r>
        <w:rPr>
          <w:rFonts w:hint="eastAsia" w:ascii="楷体" w:hAnsi="楷体" w:eastAsia="楷体" w:cs="楷体"/>
          <w:b/>
          <w:bCs/>
          <w:color w:val="000000"/>
          <w:sz w:val="32"/>
          <w:szCs w:val="32"/>
          <w:highlight w:val="none"/>
          <w:lang w:val="zh-CN" w:eastAsia="zh-CN"/>
        </w:rPr>
        <w:t>(二)中医医疗机构监督。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中医医疗机构检查中，在医疗机构监督内容基础上增加以下内容：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lang w:val="zh-CN" w:eastAsia="zh-CN"/>
        </w:rPr>
        <w:t>中医药人员配备情况，中医(专长)医师是否超出注册的范围开展医疗活动情况。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lang w:val="zh-CN" w:eastAsia="zh-CN"/>
        </w:rPr>
        <w:t>专科制定中医优势病种中医诊疗方案及实施情况。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3.中医医疗技术开展情况(包括开展的中医医疗技术类别及项目数等)。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4.中药饮片管理(采购、验收、保管、调剂、临方炮制、煎煮等环节的管理情况；中药饮片处方点评情况；膏方的处方开具、制备管理、临床使用等情况)。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5.抽查中医医疗广告发布情况(发布的中医医疗广告与审查文件的不相符合等)。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rPr>
          <w:rFonts w:hint="eastAsia" w:ascii="楷体" w:hAnsi="楷体" w:eastAsia="楷体" w:cs="楷体"/>
          <w:b/>
          <w:bCs/>
          <w:color w:val="000000"/>
          <w:sz w:val="32"/>
          <w:szCs w:val="32"/>
          <w:highlight w:val="none"/>
          <w:lang w:val="zh-CN" w:eastAsia="zh-CN"/>
        </w:rPr>
      </w:pPr>
      <w:r>
        <w:rPr>
          <w:rFonts w:hint="eastAsia" w:ascii="楷体" w:hAnsi="楷体" w:eastAsia="楷体" w:cs="楷体"/>
          <w:b/>
          <w:bCs/>
          <w:color w:val="000000"/>
          <w:sz w:val="32"/>
          <w:szCs w:val="32"/>
          <w:highlight w:val="none"/>
          <w:lang w:val="zh-CN" w:eastAsia="zh-CN"/>
        </w:rPr>
        <w:t>(三)医疗美容机构监督。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2.执业人员管理情况。执业人员是否取得资质并完成执业注册、主诊医师执业备案，麻醉医师等执业人员是否满足工作要求；是否存在执业医师超执业范围或在非注册的地点开展诊疗活动的情况。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3.药品、医疗器械管理情况。在使用环节是否存在违法违规行为，包括使用不符合法定要求的药品、医疗器械等。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4.医疗美容广告发布管理情况。是否存在未经批准和篡改《医疗广告审查证明》内容发布医疗美容广告的行为。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5.医疗技术(禁止类技术、限制类技术)管理情况。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6.医疗文书管理情况。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rPr>
          <w:rFonts w:hint="eastAsia" w:ascii="楷体" w:hAnsi="楷体" w:eastAsia="楷体" w:cs="楷体"/>
          <w:b/>
          <w:bCs/>
          <w:color w:val="000000"/>
          <w:sz w:val="32"/>
          <w:szCs w:val="32"/>
          <w:highlight w:val="none"/>
          <w:lang w:val="zh-CN" w:eastAsia="zh-CN"/>
        </w:rPr>
      </w:pPr>
      <w:r>
        <w:rPr>
          <w:rFonts w:hint="eastAsia" w:ascii="楷体" w:hAnsi="楷体" w:eastAsia="楷体" w:cs="楷体"/>
          <w:b/>
          <w:bCs/>
          <w:color w:val="000000"/>
          <w:sz w:val="32"/>
          <w:szCs w:val="32"/>
          <w:highlight w:val="none"/>
          <w:lang w:val="zh-CN" w:eastAsia="zh-CN"/>
        </w:rPr>
        <w:t>(四)母婴保健技术服务机构监督。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1.机构及人员资质情况。开展母婴保健技术服务、人类辅助生殖技术服务、设置人类精子库的机构执业资质和人员执业资格情况。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5.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000000"/>
          <w:sz w:val="32"/>
          <w:szCs w:val="32"/>
          <w:highlight w:val="none"/>
          <w:lang w:val="zh-CN" w:bidi="zh-CN"/>
        </w:rPr>
      </w:pPr>
      <w:r>
        <w:rPr>
          <w:rFonts w:hint="eastAsia" w:ascii="黑体" w:hAnsi="黑体" w:eastAsia="黑体"/>
          <w:color w:val="000000"/>
          <w:sz w:val="32"/>
          <w:szCs w:val="32"/>
          <w:highlight w:val="none"/>
        </w:rPr>
        <w:t>三、</w:t>
      </w:r>
      <w:r>
        <w:rPr>
          <w:rFonts w:hint="eastAsia" w:ascii="黑体" w:hAnsi="黑体" w:eastAsia="黑体" w:cs="黑体"/>
          <w:color w:val="000000"/>
          <w:sz w:val="32"/>
          <w:szCs w:val="32"/>
          <w:highlight w:val="none"/>
          <w:lang w:val="zh-CN" w:bidi="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（一）</w:t>
      </w:r>
      <w:r>
        <w:rPr>
          <w:rFonts w:hint="eastAsia" w:ascii="仿宋" w:hAnsi="仿宋" w:eastAsia="仿宋" w:cs="仿宋"/>
          <w:b w:val="0"/>
          <w:bCs w:val="0"/>
          <w:color w:val="000000"/>
          <w:sz w:val="32"/>
          <w:szCs w:val="32"/>
          <w:highlight w:val="none"/>
          <w:lang w:val="en-US" w:eastAsia="zh-CN"/>
        </w:rPr>
        <w:t>青铜峡市疾病预防控制中心（卫生监督所）</w:t>
      </w:r>
      <w:r>
        <w:rPr>
          <w:rFonts w:hint="eastAsia" w:ascii="仿宋" w:hAnsi="仿宋" w:eastAsia="仿宋" w:cs="仿宋"/>
          <w:b w:val="0"/>
          <w:bCs w:val="0"/>
          <w:color w:val="000000"/>
          <w:sz w:val="32"/>
          <w:szCs w:val="32"/>
          <w:highlight w:val="none"/>
        </w:rPr>
        <w:t>要对违法行为依法</w:t>
      </w:r>
      <w:r>
        <w:rPr>
          <w:rFonts w:hint="eastAsia" w:ascii="仿宋" w:hAnsi="仿宋" w:eastAsia="仿宋" w:cs="仿宋"/>
          <w:b w:val="0"/>
          <w:bCs w:val="0"/>
          <w:color w:val="000000"/>
          <w:sz w:val="32"/>
          <w:szCs w:val="32"/>
          <w:highlight w:val="none"/>
          <w:lang w:val="en-US" w:eastAsia="zh-CN"/>
        </w:rPr>
        <w:t>查处</w:t>
      </w:r>
      <w:r>
        <w:rPr>
          <w:rFonts w:hint="eastAsia" w:ascii="仿宋" w:hAnsi="仿宋" w:eastAsia="仿宋" w:cs="仿宋"/>
          <w:b w:val="0"/>
          <w:bCs w:val="0"/>
          <w:color w:val="000000"/>
          <w:sz w:val="32"/>
          <w:szCs w:val="32"/>
          <w:highlight w:val="none"/>
        </w:rPr>
        <w:t>，涉嫌违法犯罪线索及时移交相关部门；重大案件信息要及时向</w:t>
      </w:r>
      <w:r>
        <w:rPr>
          <w:rFonts w:hint="eastAsia" w:ascii="仿宋" w:hAnsi="仿宋" w:eastAsia="仿宋" w:cs="仿宋"/>
          <w:b w:val="0"/>
          <w:bCs w:val="0"/>
          <w:color w:val="000000"/>
          <w:sz w:val="32"/>
          <w:szCs w:val="32"/>
          <w:highlight w:val="none"/>
          <w:lang w:val="en-US" w:eastAsia="zh-CN"/>
        </w:rPr>
        <w:t>自治区</w:t>
      </w:r>
      <w:r>
        <w:rPr>
          <w:rFonts w:hint="eastAsia" w:ascii="仿宋" w:hAnsi="仿宋" w:eastAsia="仿宋" w:cs="仿宋"/>
          <w:b w:val="0"/>
          <w:bCs w:val="0"/>
          <w:color w:val="000000"/>
          <w:sz w:val="32"/>
          <w:szCs w:val="32"/>
          <w:highlight w:val="none"/>
        </w:rPr>
        <w:t>卫生健康委报告。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eastAsia="仿宋_GB2312"/>
          <w:color w:val="000000"/>
          <w:sz w:val="32"/>
          <w:szCs w:val="24"/>
          <w:highlight w:val="none"/>
        </w:rPr>
      </w:pPr>
      <w:r>
        <w:rPr>
          <w:rFonts w:hint="eastAsia" w:ascii="仿宋" w:hAnsi="仿宋" w:eastAsia="仿宋" w:cs="仿宋"/>
          <w:b w:val="0"/>
          <w:bCs w:val="0"/>
          <w:color w:val="000000"/>
          <w:sz w:val="32"/>
          <w:szCs w:val="32"/>
          <w:highlight w:val="none"/>
          <w:lang w:eastAsia="zh-CN"/>
        </w:rPr>
        <w:t>（二）</w:t>
      </w:r>
      <w:r>
        <w:rPr>
          <w:rFonts w:hint="eastAsia" w:ascii="仿宋" w:hAnsi="仿宋" w:eastAsia="仿宋" w:cs="仿宋"/>
          <w:b w:val="0"/>
          <w:bCs w:val="0"/>
          <w:color w:val="000000"/>
          <w:sz w:val="32"/>
          <w:szCs w:val="32"/>
          <w:highlight w:val="none"/>
          <w:lang w:val="en-US" w:eastAsia="zh-CN"/>
        </w:rPr>
        <w:t>青铜峡市疾病预防控制中心（卫生监督所）</w:t>
      </w:r>
      <w:r>
        <w:rPr>
          <w:rFonts w:hint="eastAsia" w:ascii="仿宋" w:hAnsi="仿宋" w:eastAsia="仿宋" w:cs="仿宋"/>
          <w:b w:val="0"/>
          <w:bCs w:val="0"/>
          <w:color w:val="000000"/>
          <w:sz w:val="32"/>
          <w:szCs w:val="24"/>
          <w:highlight w:val="none"/>
        </w:rPr>
        <w:t>要加强上报数据信息的审核，保证数据信息项目齐全、质量可靠，于2025年10月</w:t>
      </w:r>
      <w:r>
        <w:rPr>
          <w:rFonts w:hint="eastAsia" w:ascii="仿宋" w:hAnsi="仿宋" w:eastAsia="仿宋" w:cs="仿宋"/>
          <w:b w:val="0"/>
          <w:bCs w:val="0"/>
          <w:color w:val="000000"/>
          <w:sz w:val="32"/>
          <w:szCs w:val="24"/>
          <w:highlight w:val="none"/>
          <w:lang w:val="en-US" w:eastAsia="zh-CN"/>
        </w:rPr>
        <w:t>2</w:t>
      </w:r>
      <w:r>
        <w:rPr>
          <w:rFonts w:hint="eastAsia" w:ascii="仿宋" w:hAnsi="仿宋" w:eastAsia="仿宋" w:cs="仿宋"/>
          <w:b w:val="0"/>
          <w:bCs w:val="0"/>
          <w:color w:val="000000"/>
          <w:sz w:val="32"/>
          <w:szCs w:val="24"/>
          <w:highlight w:val="none"/>
        </w:rPr>
        <w:t>0日前完成医疗国家随机监督抽查工作任务和数据填报工作。</w:t>
      </w:r>
      <w:r>
        <w:rPr>
          <w:rFonts w:hint="eastAsia" w:ascii="仿宋" w:hAnsi="仿宋" w:eastAsia="仿宋" w:cs="仿宋"/>
          <w:color w:val="000000"/>
          <w:sz w:val="32"/>
          <w:szCs w:val="24"/>
          <w:highlight w:val="none"/>
        </w:rPr>
        <w:t>于 2025年6月</w:t>
      </w:r>
      <w:r>
        <w:rPr>
          <w:rFonts w:hint="eastAsia" w:ascii="仿宋" w:hAnsi="仿宋" w:eastAsia="仿宋" w:cs="仿宋"/>
          <w:color w:val="000000"/>
          <w:sz w:val="32"/>
          <w:szCs w:val="24"/>
          <w:highlight w:val="none"/>
          <w:lang w:val="en-US" w:eastAsia="zh-CN"/>
        </w:rPr>
        <w:t>2</w:t>
      </w:r>
      <w:r>
        <w:rPr>
          <w:rFonts w:hint="eastAsia" w:ascii="仿宋" w:hAnsi="仿宋" w:eastAsia="仿宋" w:cs="仿宋"/>
          <w:color w:val="000000"/>
          <w:sz w:val="32"/>
          <w:szCs w:val="24"/>
          <w:highlight w:val="none"/>
        </w:rPr>
        <w:t>0日、11月</w:t>
      </w:r>
      <w:r>
        <w:rPr>
          <w:rFonts w:hint="eastAsia" w:ascii="仿宋" w:hAnsi="仿宋" w:eastAsia="仿宋" w:cs="仿宋"/>
          <w:color w:val="000000"/>
          <w:sz w:val="32"/>
          <w:szCs w:val="24"/>
          <w:highlight w:val="none"/>
          <w:lang w:val="en-US" w:eastAsia="zh-CN"/>
        </w:rPr>
        <w:t>2</w:t>
      </w:r>
      <w:r>
        <w:rPr>
          <w:rFonts w:hint="eastAsia" w:ascii="仿宋" w:hAnsi="仿宋" w:eastAsia="仿宋" w:cs="仿宋"/>
          <w:color w:val="000000"/>
          <w:sz w:val="32"/>
          <w:szCs w:val="24"/>
          <w:highlight w:val="none"/>
        </w:rPr>
        <w:t>0日前将</w:t>
      </w:r>
      <w:r>
        <w:rPr>
          <w:rFonts w:hint="eastAsia" w:ascii="仿宋" w:hAnsi="仿宋" w:eastAsia="仿宋" w:cs="仿宋"/>
          <w:color w:val="000000"/>
          <w:sz w:val="32"/>
          <w:szCs w:val="24"/>
          <w:highlight w:val="none"/>
          <w:lang w:eastAsia="zh-CN"/>
        </w:rPr>
        <w:t>阶段性总结、全年</w:t>
      </w:r>
      <w:r>
        <w:rPr>
          <w:rFonts w:hint="eastAsia" w:ascii="仿宋" w:hAnsi="仿宋" w:eastAsia="仿宋" w:cs="仿宋"/>
          <w:color w:val="000000"/>
          <w:sz w:val="32"/>
          <w:szCs w:val="24"/>
          <w:highlight w:val="none"/>
        </w:rPr>
        <w:t>总结（带附表）报送</w:t>
      </w:r>
      <w:r>
        <w:rPr>
          <w:rFonts w:hint="eastAsia" w:ascii="仿宋" w:hAnsi="仿宋" w:eastAsia="仿宋" w:cs="仿宋"/>
          <w:color w:val="000000"/>
          <w:sz w:val="32"/>
          <w:szCs w:val="24"/>
          <w:highlight w:val="none"/>
          <w:lang w:val="en-US" w:eastAsia="zh-CN"/>
        </w:rPr>
        <w:t>吴忠市</w:t>
      </w:r>
      <w:r>
        <w:rPr>
          <w:rFonts w:hint="eastAsia" w:ascii="仿宋" w:hAnsi="仿宋" w:eastAsia="仿宋" w:cs="仿宋"/>
          <w:color w:val="000000"/>
          <w:sz w:val="32"/>
          <w:szCs w:val="24"/>
          <w:highlight w:val="none"/>
        </w:rPr>
        <w:t>卫生健康</w:t>
      </w:r>
      <w:r>
        <w:rPr>
          <w:rFonts w:hint="eastAsia" w:ascii="仿宋" w:hAnsi="仿宋" w:eastAsia="仿宋" w:cs="仿宋"/>
          <w:color w:val="000000"/>
          <w:sz w:val="32"/>
          <w:szCs w:val="24"/>
          <w:highlight w:val="none"/>
          <w:lang w:val="en-US" w:eastAsia="zh-CN"/>
        </w:rPr>
        <w:t>委</w:t>
      </w:r>
      <w:r>
        <w:rPr>
          <w:rFonts w:hint="eastAsia" w:ascii="仿宋" w:hAnsi="仿宋" w:eastAsia="仿宋" w:cs="仿宋"/>
          <w:color w:val="000000"/>
          <w:sz w:val="32"/>
          <w:szCs w:val="24"/>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color w:val="000000"/>
          <w:spacing w:val="-10"/>
          <w:sz w:val="32"/>
          <w:szCs w:val="32"/>
          <w:lang w:eastAsia="zh-CN"/>
        </w:rPr>
        <w:t>青铜峡市</w:t>
      </w:r>
      <w:r>
        <w:rPr>
          <w:rFonts w:hint="eastAsia" w:ascii="仿宋" w:hAnsi="仿宋" w:eastAsia="仿宋" w:cs="仿宋"/>
          <w:color w:val="000000"/>
          <w:spacing w:val="-10"/>
          <w:sz w:val="32"/>
          <w:szCs w:val="32"/>
          <w:lang w:val="en-US" w:eastAsia="zh-CN"/>
        </w:rPr>
        <w:t xml:space="preserve">卫生健康局综合业务室          </w:t>
      </w:r>
      <w:r>
        <w:rPr>
          <w:rFonts w:hint="eastAsia" w:ascii="仿宋" w:hAnsi="仿宋" w:eastAsia="仿宋" w:cs="仿宋"/>
          <w:sz w:val="32"/>
          <w:szCs w:val="32"/>
          <w:lang w:val="en-US" w:eastAsia="zh-CN"/>
        </w:rPr>
        <w:t>武静娴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电</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话：095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3626121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邮</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箱：</w:t>
      </w:r>
      <w:r>
        <w:rPr>
          <w:rFonts w:hint="eastAsia" w:ascii="仿宋" w:hAnsi="仿宋" w:eastAsia="仿宋" w:cs="仿宋"/>
          <w:sz w:val="32"/>
          <w:szCs w:val="32"/>
          <w:lang w:val="en-US" w:eastAsia="zh-CN"/>
        </w:rPr>
        <w:t>qtxswjjyzyg</w:t>
      </w:r>
      <w:r>
        <w:rPr>
          <w:rFonts w:hint="eastAsia" w:ascii="仿宋" w:hAnsi="仿宋" w:eastAsia="仿宋" w:cs="仿宋"/>
          <w:sz w:val="32"/>
          <w:szCs w:val="32"/>
        </w:rPr>
        <w:t>@163.com</w:t>
      </w:r>
    </w:p>
    <w:p>
      <w:pPr>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b w:val="0"/>
          <w:bCs w:val="0"/>
          <w:color w:val="000000"/>
          <w:sz w:val="32"/>
          <w:szCs w:val="32"/>
          <w:highlight w:val="none"/>
          <w:lang w:val="en-US" w:eastAsia="zh-CN"/>
        </w:rPr>
        <w:t xml:space="preserve">市疾病预防控制中心（卫生监督所）   </w:t>
      </w:r>
      <w:r>
        <w:rPr>
          <w:rFonts w:hint="eastAsia" w:ascii="仿宋" w:hAnsi="仿宋" w:eastAsia="仿宋" w:cs="仿宋"/>
          <w:sz w:val="32"/>
          <w:szCs w:val="32"/>
          <w:lang w:val="en-US" w:eastAsia="zh-CN"/>
        </w:rPr>
        <w:t>邱丽娟</w:t>
      </w:r>
    </w:p>
    <w:p>
      <w:pPr>
        <w:pStyle w:val="4"/>
        <w:keepNext w:val="0"/>
        <w:keepLines w:val="0"/>
        <w:pageBreakBefore w:val="0"/>
        <w:kinsoku/>
        <w:wordWrap/>
        <w:overflowPunct/>
        <w:topLinePunct w:val="0"/>
        <w:bidi w:val="0"/>
        <w:adjustRightInd/>
        <w:snapToGrid/>
        <w:spacing w:line="560" w:lineRule="exact"/>
        <w:ind w:right="285"/>
        <w:jc w:val="both"/>
        <w:textAlignment w:val="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095</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3054182</w:t>
      </w:r>
      <w:r>
        <w:rPr>
          <w:rFonts w:hint="eastAsia" w:ascii="仿宋" w:hAnsi="仿宋" w:eastAsia="仿宋" w:cs="仿宋"/>
          <w:sz w:val="32"/>
          <w:szCs w:val="32"/>
        </w:rPr>
        <w:t xml:space="preserve">    </w:t>
      </w:r>
    </w:p>
    <w:p>
      <w:pPr>
        <w:pStyle w:val="4"/>
        <w:keepNext w:val="0"/>
        <w:keepLines w:val="0"/>
        <w:pageBreakBefore w:val="0"/>
        <w:kinsoku/>
        <w:wordWrap/>
        <w:overflowPunct/>
        <w:topLinePunct w:val="0"/>
        <w:bidi w:val="0"/>
        <w:adjustRightInd/>
        <w:snapToGrid/>
        <w:spacing w:line="560" w:lineRule="exact"/>
        <w:ind w:right="285"/>
        <w:jc w:val="both"/>
        <w:textAlignment w:val="auto"/>
        <w:rPr>
          <w:rFonts w:ascii="仿宋" w:hAnsi="仿宋" w:eastAsia="仿宋" w:cs="Times New Roman"/>
          <w:kern w:val="2"/>
          <w:sz w:val="32"/>
          <w:szCs w:val="32"/>
        </w:rPr>
      </w:pPr>
      <w:r>
        <w:rPr>
          <w:rFonts w:hint="eastAsia" w:ascii="仿宋" w:hAnsi="仿宋" w:eastAsia="仿宋" w:cs="仿宋"/>
          <w:sz w:val="32"/>
          <w:szCs w:val="32"/>
        </w:rPr>
        <w:t>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箱：</w:t>
      </w:r>
      <w:r>
        <w:rPr>
          <w:rFonts w:hint="eastAsia" w:ascii="仿宋" w:hAnsi="仿宋" w:eastAsia="仿宋" w:cs="Times New Roman"/>
          <w:color w:val="auto"/>
          <w:kern w:val="2"/>
          <w:sz w:val="32"/>
          <w:szCs w:val="32"/>
          <w:u w:val="none"/>
        </w:rPr>
        <w:t>nxwsjd_</w:t>
      </w:r>
      <w:r>
        <w:rPr>
          <w:rFonts w:hint="eastAsia" w:ascii="仿宋" w:hAnsi="仿宋" w:eastAsia="仿宋" w:cs="Times New Roman"/>
          <w:color w:val="auto"/>
          <w:kern w:val="2"/>
          <w:sz w:val="32"/>
          <w:szCs w:val="32"/>
          <w:u w:val="none"/>
          <w:lang w:val="en-US" w:eastAsia="zh-CN"/>
        </w:rPr>
        <w:t>381</w:t>
      </w:r>
      <w:r>
        <w:rPr>
          <w:rFonts w:hint="eastAsia" w:ascii="仿宋" w:hAnsi="仿宋" w:eastAsia="仿宋" w:cs="Times New Roman"/>
          <w:color w:val="auto"/>
          <w:kern w:val="2"/>
          <w:sz w:val="32"/>
          <w:szCs w:val="32"/>
          <w:u w:val="none"/>
        </w:rPr>
        <w:t>@163.com</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000000"/>
          <w:sz w:val="32"/>
          <w:szCs w:val="24"/>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附表：</w:t>
      </w:r>
      <w:r>
        <w:rPr>
          <w:rFonts w:hint="eastAsia" w:ascii="仿宋" w:hAnsi="仿宋" w:eastAsia="仿宋" w:cs="仿宋"/>
          <w:color w:val="000000"/>
          <w:sz w:val="32"/>
          <w:szCs w:val="24"/>
          <w:highlight w:val="none"/>
          <w:lang w:val="en-US" w:eastAsia="zh-CN"/>
        </w:rPr>
        <w:t>1.</w:t>
      </w:r>
      <w:r>
        <w:rPr>
          <w:rFonts w:hint="eastAsia" w:ascii="仿宋" w:hAnsi="仿宋" w:eastAsia="仿宋" w:cs="仿宋"/>
          <w:color w:val="000000"/>
          <w:sz w:val="32"/>
          <w:szCs w:val="24"/>
          <w:highlight w:val="none"/>
        </w:rPr>
        <w:t>2025年医疗机构国家随机监督抽查工作计划表</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lang w:val="en-US" w:eastAsia="zh-CN"/>
        </w:rPr>
        <w:t>2.</w:t>
      </w:r>
      <w:r>
        <w:rPr>
          <w:rFonts w:hint="eastAsia" w:ascii="仿宋" w:hAnsi="仿宋" w:eastAsia="仿宋" w:cs="仿宋"/>
          <w:color w:val="000000"/>
          <w:sz w:val="32"/>
          <w:szCs w:val="24"/>
          <w:highlight w:val="none"/>
        </w:rPr>
        <w:t>2025年医疗机构国家随机监督抽查汇总表</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 xml:space="preserve">3.2025年中医医疗机构国家随机监督抽查工作计划表 </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4.2025年中医医疗机构国家随机监督抽查汇总表</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 xml:space="preserve">5.2025年医疗美容机构国家随机监督抽查工作计划表 </w:t>
      </w: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6.2025年医疗美容机构国家随机监督抽查汇总表</w:t>
      </w:r>
    </w:p>
    <w:p>
      <w:pPr>
        <w:keepNext w:val="0"/>
        <w:keepLines w:val="0"/>
        <w:pageBreakBefore w:val="0"/>
        <w:widowControl w:val="0"/>
        <w:kinsoku/>
        <w:wordWrap/>
        <w:overflowPunct/>
        <w:topLinePunct w:val="0"/>
        <w:autoSpaceDE/>
        <w:autoSpaceDN/>
        <w:bidi w:val="0"/>
        <w:adjustRightInd/>
        <w:snapToGrid/>
        <w:spacing w:line="576" w:lineRule="exact"/>
        <w:ind w:left="1278" w:leftChars="456" w:hanging="320" w:hangingChars="10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7.2025年母婴保健技术服务机构国家随机监督抽查工作</w:t>
      </w:r>
    </w:p>
    <w:p>
      <w:pPr>
        <w:keepNext w:val="0"/>
        <w:keepLines w:val="0"/>
        <w:pageBreakBefore w:val="0"/>
        <w:widowControl w:val="0"/>
        <w:kinsoku/>
        <w:wordWrap/>
        <w:overflowPunct/>
        <w:topLinePunct w:val="0"/>
        <w:autoSpaceDE/>
        <w:autoSpaceDN/>
        <w:bidi w:val="0"/>
        <w:adjustRightInd/>
        <w:snapToGrid/>
        <w:spacing w:line="576" w:lineRule="exact"/>
        <w:ind w:left="1278" w:leftChars="456" w:hanging="320" w:hangingChars="10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计划表</w:t>
      </w:r>
    </w:p>
    <w:p>
      <w:pPr>
        <w:keepNext w:val="0"/>
        <w:keepLines w:val="0"/>
        <w:pageBreakBefore w:val="0"/>
        <w:widowControl w:val="0"/>
        <w:kinsoku/>
        <w:wordWrap/>
        <w:overflowPunct/>
        <w:topLinePunct w:val="0"/>
        <w:autoSpaceDE/>
        <w:autoSpaceDN/>
        <w:bidi w:val="0"/>
        <w:adjustRightInd/>
        <w:snapToGrid/>
        <w:spacing w:line="576" w:lineRule="exact"/>
        <w:ind w:left="958" w:leftChars="456" w:firstLine="0" w:firstLineChars="0"/>
        <w:textAlignment w:val="auto"/>
        <w:rPr>
          <w:rFonts w:hint="eastAsia" w:ascii="仿宋" w:hAnsi="仿宋" w:eastAsia="仿宋" w:cs="仿宋"/>
          <w:color w:val="000000"/>
          <w:sz w:val="32"/>
          <w:szCs w:val="24"/>
          <w:highlight w:val="none"/>
        </w:rPr>
      </w:pPr>
      <w:r>
        <w:rPr>
          <w:rFonts w:hint="eastAsia" w:ascii="仿宋" w:hAnsi="仿宋" w:eastAsia="仿宋" w:cs="仿宋"/>
          <w:color w:val="000000"/>
          <w:sz w:val="32"/>
          <w:szCs w:val="24"/>
          <w:highlight w:val="none"/>
        </w:rPr>
        <w:t>8.2025年母婴保健技术服务机构国家随机监督抽查汇总表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color w:val="000000"/>
          <w:sz w:val="32"/>
          <w:szCs w:val="24"/>
          <w:highlight w:val="none"/>
        </w:rPr>
        <w:sectPr>
          <w:headerReference r:id="rId3" w:type="default"/>
          <w:footerReference r:id="rId4" w:type="default"/>
          <w:pgSz w:w="11905" w:h="16838"/>
          <w:pgMar w:top="2098" w:right="1474" w:bottom="1984" w:left="1587" w:header="850" w:footer="992" w:gutter="0"/>
          <w:pgNumType w:fmt="numberInDash"/>
          <w:cols w:space="720" w:num="1"/>
          <w:rtlGutter w:val="0"/>
          <w:docGrid w:type="lines" w:linePitch="442"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val="0"/>
          <w:bCs w:val="0"/>
          <w:color w:val="000000"/>
          <w:spacing w:val="16"/>
          <w:sz w:val="32"/>
          <w:szCs w:val="32"/>
          <w:highlight w:val="none"/>
        </w:rPr>
      </w:pPr>
      <w:r>
        <w:rPr>
          <w:rFonts w:ascii="黑体" w:hAnsi="黑体" w:eastAsia="黑体" w:cs="黑体"/>
          <w:b w:val="0"/>
          <w:bCs w:val="0"/>
          <w:color w:val="000000"/>
          <w:spacing w:val="16"/>
          <w:sz w:val="32"/>
          <w:szCs w:val="32"/>
          <w:highlight w:val="none"/>
        </w:rPr>
        <w:t>附表1</w:t>
      </w:r>
    </w:p>
    <w:p>
      <w:pPr>
        <w:pStyle w:val="4"/>
        <w:spacing w:before="187" w:line="219" w:lineRule="auto"/>
        <w:ind w:left="2794"/>
        <w:rPr>
          <w:rFonts w:hint="eastAsia" w:ascii="方正小标宋简体" w:hAnsi="方正小标宋简体" w:eastAsia="方正小标宋简体" w:cs="方正小标宋简体"/>
          <w:color w:val="000000"/>
          <w:spacing w:val="1"/>
          <w:kern w:val="0"/>
          <w:sz w:val="44"/>
          <w:szCs w:val="44"/>
          <w:highlight w:val="none"/>
          <w:lang w:val="en-US" w:eastAsia="zh-CN" w:bidi="zh-CN"/>
        </w:rPr>
      </w:pPr>
      <w:r>
        <w:rPr>
          <w:rFonts w:hint="eastAsia" w:ascii="方正小标宋简体" w:hAnsi="方正小标宋简体" w:eastAsia="方正小标宋简体" w:cs="方正小标宋简体"/>
          <w:color w:val="000000"/>
          <w:spacing w:val="1"/>
          <w:kern w:val="0"/>
          <w:sz w:val="44"/>
          <w:szCs w:val="44"/>
          <w:highlight w:val="none"/>
          <w:lang w:val="en-US" w:eastAsia="zh-CN" w:bidi="zh-CN"/>
        </w:rPr>
        <w:t>2025年医疗机构国家随机监督抽查工作计划表</w:t>
      </w:r>
    </w:p>
    <w:p>
      <w:pPr>
        <w:spacing w:line="157" w:lineRule="exact"/>
        <w:rPr>
          <w:color w:val="000000"/>
          <w:highlight w:val="none"/>
        </w:rPr>
      </w:pPr>
    </w:p>
    <w:tbl>
      <w:tblPr>
        <w:tblStyle w:val="26"/>
        <w:tblW w:w="144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3328"/>
        <w:gridCol w:w="1239"/>
        <w:gridCol w:w="7285"/>
        <w:gridCol w:w="1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974" w:type="dxa"/>
            <w:noWrap w:val="0"/>
            <w:vAlign w:val="top"/>
          </w:tcPr>
          <w:p>
            <w:pPr>
              <w:pStyle w:val="25"/>
              <w:spacing w:before="205" w:line="221" w:lineRule="auto"/>
              <w:ind w:left="255"/>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序号</w:t>
            </w:r>
          </w:p>
        </w:tc>
        <w:tc>
          <w:tcPr>
            <w:tcW w:w="3328" w:type="dxa"/>
            <w:noWrap w:val="0"/>
            <w:vAlign w:val="top"/>
          </w:tcPr>
          <w:p>
            <w:pPr>
              <w:pStyle w:val="25"/>
              <w:spacing w:before="204" w:line="219" w:lineRule="auto"/>
              <w:ind w:left="990"/>
              <w:rPr>
                <w:rFonts w:hint="eastAsia" w:ascii="仿宋" w:hAnsi="仿宋" w:eastAsia="仿宋" w:cs="仿宋"/>
                <w:color w:val="000000"/>
                <w:sz w:val="22"/>
                <w:szCs w:val="22"/>
                <w:highlight w:val="none"/>
              </w:rPr>
            </w:pPr>
            <w:r>
              <w:rPr>
                <w:rFonts w:hint="eastAsia" w:ascii="仿宋" w:hAnsi="仿宋" w:eastAsia="仿宋" w:cs="仿宋"/>
                <w:color w:val="000000"/>
                <w:spacing w:val="-2"/>
                <w:sz w:val="22"/>
                <w:szCs w:val="22"/>
                <w:highlight w:val="none"/>
              </w:rPr>
              <w:t>监督检查对象</w:t>
            </w:r>
          </w:p>
        </w:tc>
        <w:tc>
          <w:tcPr>
            <w:tcW w:w="1239" w:type="dxa"/>
            <w:noWrap w:val="0"/>
            <w:vAlign w:val="top"/>
          </w:tcPr>
          <w:p>
            <w:pPr>
              <w:pStyle w:val="25"/>
              <w:spacing w:before="204" w:line="219" w:lineRule="auto"/>
              <w:ind w:left="172"/>
              <w:rPr>
                <w:rFonts w:hint="eastAsia" w:ascii="仿宋" w:hAnsi="仿宋" w:eastAsia="仿宋" w:cs="仿宋"/>
                <w:color w:val="000000"/>
                <w:sz w:val="22"/>
                <w:szCs w:val="22"/>
                <w:highlight w:val="none"/>
              </w:rPr>
            </w:pPr>
            <w:r>
              <w:rPr>
                <w:rFonts w:hint="eastAsia" w:ascii="仿宋" w:hAnsi="仿宋" w:eastAsia="仿宋" w:cs="仿宋"/>
                <w:color w:val="000000"/>
                <w:spacing w:val="4"/>
                <w:sz w:val="22"/>
                <w:szCs w:val="22"/>
                <w:highlight w:val="none"/>
              </w:rPr>
              <w:t>抽检比例</w:t>
            </w:r>
          </w:p>
        </w:tc>
        <w:tc>
          <w:tcPr>
            <w:tcW w:w="7285" w:type="dxa"/>
            <w:noWrap w:val="0"/>
            <w:vAlign w:val="top"/>
          </w:tcPr>
          <w:p>
            <w:pPr>
              <w:pStyle w:val="25"/>
              <w:spacing w:before="204" w:line="219" w:lineRule="auto"/>
              <w:ind w:left="3234"/>
              <w:rPr>
                <w:rFonts w:hint="eastAsia" w:ascii="仿宋" w:hAnsi="仿宋" w:eastAsia="仿宋" w:cs="仿宋"/>
                <w:color w:val="000000"/>
                <w:sz w:val="22"/>
                <w:szCs w:val="22"/>
                <w:highlight w:val="none"/>
              </w:rPr>
            </w:pPr>
            <w:r>
              <w:rPr>
                <w:rFonts w:hint="eastAsia" w:ascii="仿宋" w:hAnsi="仿宋" w:eastAsia="仿宋" w:cs="仿宋"/>
                <w:color w:val="000000"/>
                <w:spacing w:val="-2"/>
                <w:sz w:val="22"/>
                <w:szCs w:val="22"/>
                <w:highlight w:val="none"/>
              </w:rPr>
              <w:t>检查内容</w:t>
            </w:r>
          </w:p>
        </w:tc>
        <w:tc>
          <w:tcPr>
            <w:tcW w:w="1634" w:type="dxa"/>
            <w:noWrap w:val="0"/>
            <w:vAlign w:val="top"/>
          </w:tcPr>
          <w:p>
            <w:pPr>
              <w:pStyle w:val="25"/>
              <w:spacing w:before="205" w:line="221" w:lineRule="auto"/>
              <w:ind w:left="618"/>
              <w:rPr>
                <w:rFonts w:hint="eastAsia" w:ascii="仿宋" w:hAnsi="仿宋" w:eastAsia="仿宋" w:cs="仿宋"/>
                <w:color w:val="000000"/>
                <w:sz w:val="22"/>
                <w:szCs w:val="22"/>
                <w:highlight w:val="none"/>
              </w:rPr>
            </w:pPr>
            <w:r>
              <w:rPr>
                <w:rFonts w:hint="eastAsia" w:ascii="仿宋" w:hAnsi="仿宋" w:eastAsia="仿宋" w:cs="仿宋"/>
                <w:color w:val="000000"/>
                <w:spacing w:val="5"/>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974" w:type="dxa"/>
            <w:noWrap w:val="0"/>
            <w:vAlign w:val="top"/>
          </w:tcPr>
          <w:p>
            <w:pPr>
              <w:spacing w:line="328" w:lineRule="auto"/>
              <w:rPr>
                <w:rFonts w:hint="eastAsia" w:ascii="仿宋" w:hAnsi="仿宋" w:eastAsia="仿宋" w:cs="仿宋"/>
                <w:color w:val="000000"/>
                <w:sz w:val="21"/>
                <w:highlight w:val="none"/>
              </w:rPr>
            </w:pPr>
          </w:p>
          <w:p>
            <w:pPr>
              <w:pStyle w:val="25"/>
              <w:spacing w:before="72" w:line="241" w:lineRule="auto"/>
              <w:ind w:left="4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w:t>
            </w:r>
          </w:p>
        </w:tc>
        <w:tc>
          <w:tcPr>
            <w:tcW w:w="3328" w:type="dxa"/>
            <w:noWrap w:val="0"/>
            <w:vAlign w:val="top"/>
          </w:tcPr>
          <w:p>
            <w:pPr>
              <w:spacing w:line="305" w:lineRule="auto"/>
              <w:rPr>
                <w:rFonts w:hint="eastAsia" w:ascii="仿宋" w:hAnsi="仿宋" w:eastAsia="仿宋" w:cs="仿宋"/>
                <w:color w:val="000000"/>
                <w:sz w:val="21"/>
                <w:highlight w:val="none"/>
              </w:rPr>
            </w:pPr>
          </w:p>
          <w:p>
            <w:pPr>
              <w:pStyle w:val="25"/>
              <w:spacing w:before="71" w:line="219" w:lineRule="auto"/>
              <w:jc w:val="right"/>
              <w:rPr>
                <w:rFonts w:hint="eastAsia" w:ascii="仿宋" w:hAnsi="仿宋" w:eastAsia="仿宋" w:cs="仿宋"/>
                <w:color w:val="000000"/>
                <w:sz w:val="22"/>
                <w:szCs w:val="22"/>
                <w:highlight w:val="none"/>
              </w:rPr>
            </w:pPr>
            <w:r>
              <w:rPr>
                <w:rFonts w:hint="eastAsia" w:ascii="仿宋" w:hAnsi="仿宋" w:eastAsia="仿宋" w:cs="仿宋"/>
                <w:color w:val="000000"/>
                <w:spacing w:val="1"/>
                <w:sz w:val="22"/>
                <w:szCs w:val="22"/>
                <w:highlight w:val="none"/>
              </w:rPr>
              <w:t>医院(含妇幼保健院、精神卫生院)</w:t>
            </w:r>
          </w:p>
        </w:tc>
        <w:tc>
          <w:tcPr>
            <w:tcW w:w="1239" w:type="dxa"/>
            <w:noWrap w:val="0"/>
            <w:vAlign w:val="top"/>
          </w:tcPr>
          <w:p>
            <w:pPr>
              <w:spacing w:line="327" w:lineRule="auto"/>
              <w:rPr>
                <w:rFonts w:hint="eastAsia" w:ascii="仿宋" w:hAnsi="仿宋" w:eastAsia="仿宋" w:cs="仿宋"/>
                <w:color w:val="000000"/>
                <w:sz w:val="21"/>
                <w:highlight w:val="none"/>
              </w:rPr>
            </w:pPr>
          </w:p>
          <w:p>
            <w:pPr>
              <w:pStyle w:val="25"/>
              <w:spacing w:before="72"/>
              <w:ind w:left="442"/>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12%</w:t>
            </w:r>
          </w:p>
        </w:tc>
        <w:tc>
          <w:tcPr>
            <w:tcW w:w="7285" w:type="dxa"/>
            <w:vMerge w:val="restart"/>
            <w:tcBorders>
              <w:bottom w:val="nil"/>
            </w:tcBorders>
            <w:noWrap w:val="0"/>
            <w:vAlign w:val="top"/>
          </w:tcPr>
          <w:p>
            <w:pPr>
              <w:pStyle w:val="25"/>
              <w:spacing w:before="48" w:line="236" w:lineRule="auto"/>
              <w:ind w:left="124"/>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1.医疗机构资质(执业许可、校验或执业备案、开展</w:t>
            </w:r>
            <w:r>
              <w:rPr>
                <w:rFonts w:hint="eastAsia" w:ascii="仿宋" w:hAnsi="仿宋" w:eastAsia="仿宋" w:cs="仿宋"/>
                <w:color w:val="000000"/>
                <w:spacing w:val="-7"/>
                <w:sz w:val="22"/>
                <w:szCs w:val="22"/>
                <w:highlight w:val="none"/>
              </w:rPr>
              <w:t>诊疗活动与执业许可或备</w:t>
            </w:r>
            <w:r>
              <w:rPr>
                <w:rFonts w:hint="eastAsia" w:ascii="仿宋" w:hAnsi="仿宋" w:eastAsia="仿宋" w:cs="仿宋"/>
                <w:color w:val="000000"/>
                <w:spacing w:val="-1"/>
                <w:sz w:val="22"/>
                <w:szCs w:val="22"/>
                <w:highlight w:val="none"/>
              </w:rPr>
              <w:t>案范围符合情况)管理情况。</w:t>
            </w:r>
          </w:p>
          <w:p>
            <w:pPr>
              <w:pStyle w:val="25"/>
              <w:spacing w:before="38"/>
              <w:ind w:left="124"/>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2.医疗卫生人员(医师、护士、医技人员执业资格、</w:t>
            </w:r>
            <w:r>
              <w:rPr>
                <w:rFonts w:hint="eastAsia" w:ascii="仿宋" w:hAnsi="仿宋" w:eastAsia="仿宋" w:cs="仿宋"/>
                <w:color w:val="000000"/>
                <w:spacing w:val="-7"/>
                <w:sz w:val="22"/>
                <w:szCs w:val="22"/>
                <w:highlight w:val="none"/>
              </w:rPr>
              <w:t>执业行为，医师、护士执</w:t>
            </w:r>
            <w:r>
              <w:rPr>
                <w:rFonts w:hint="eastAsia" w:ascii="仿宋" w:hAnsi="仿宋" w:eastAsia="仿宋" w:cs="仿宋"/>
                <w:color w:val="000000"/>
                <w:spacing w:val="-1"/>
                <w:sz w:val="22"/>
                <w:szCs w:val="22"/>
                <w:highlight w:val="none"/>
              </w:rPr>
              <w:t>业注册)管理情况。</w:t>
            </w:r>
          </w:p>
          <w:p>
            <w:pPr>
              <w:pStyle w:val="25"/>
              <w:spacing w:before="18" w:line="232" w:lineRule="auto"/>
              <w:ind w:left="123" w:hanging="10"/>
              <w:rPr>
                <w:rFonts w:hint="eastAsia" w:ascii="仿宋" w:hAnsi="仿宋" w:eastAsia="仿宋" w:cs="仿宋"/>
                <w:color w:val="000000"/>
                <w:sz w:val="22"/>
                <w:szCs w:val="22"/>
                <w:highlight w:val="none"/>
              </w:rPr>
            </w:pPr>
            <w:r>
              <w:rPr>
                <w:rFonts w:hint="eastAsia" w:ascii="仿宋" w:hAnsi="仿宋" w:eastAsia="仿宋" w:cs="仿宋"/>
                <w:color w:val="000000"/>
                <w:spacing w:val="-3"/>
                <w:sz w:val="22"/>
                <w:szCs w:val="22"/>
                <w:highlight w:val="none"/>
              </w:rPr>
              <w:t>3.药品(医疗用毒性药品、麻醉药品、精神药品、抗菌药物)和医疗器械管理</w:t>
            </w:r>
            <w:r>
              <w:rPr>
                <w:rFonts w:hint="eastAsia" w:ascii="仿宋" w:hAnsi="仿宋" w:eastAsia="仿宋" w:cs="仿宋"/>
                <w:color w:val="000000"/>
                <w:spacing w:val="-1"/>
                <w:sz w:val="22"/>
                <w:szCs w:val="22"/>
                <w:highlight w:val="none"/>
              </w:rPr>
              <w:t>情况。</w:t>
            </w:r>
          </w:p>
          <w:p>
            <w:pPr>
              <w:pStyle w:val="25"/>
              <w:spacing w:before="57" w:line="227" w:lineRule="auto"/>
              <w:ind w:left="123" w:hanging="10"/>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4.医疗技术临床应用管理情况(限制类技术备案及数据信息报送情况、是否开</w:t>
            </w:r>
            <w:r>
              <w:rPr>
                <w:rFonts w:hint="eastAsia" w:ascii="仿宋" w:hAnsi="仿宋" w:eastAsia="仿宋" w:cs="仿宋"/>
                <w:color w:val="000000"/>
                <w:sz w:val="22"/>
                <w:szCs w:val="22"/>
                <w:highlight w:val="none"/>
              </w:rPr>
              <w:t xml:space="preserve"> </w:t>
            </w:r>
            <w:r>
              <w:rPr>
                <w:rFonts w:hint="eastAsia" w:ascii="仿宋" w:hAnsi="仿宋" w:eastAsia="仿宋" w:cs="仿宋"/>
                <w:color w:val="000000"/>
                <w:spacing w:val="-1"/>
                <w:sz w:val="22"/>
                <w:szCs w:val="22"/>
                <w:highlight w:val="none"/>
              </w:rPr>
              <w:t>展禁止类技术等)。</w:t>
            </w:r>
          </w:p>
          <w:p>
            <w:pPr>
              <w:pStyle w:val="25"/>
              <w:spacing w:before="37" w:line="232" w:lineRule="auto"/>
              <w:ind w:left="123" w:hanging="10"/>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5.医疗文书(处方、病历、医学证明文件等)管理情况。(村卫生室仅抽查处方</w:t>
            </w:r>
            <w:r>
              <w:rPr>
                <w:rFonts w:hint="eastAsia" w:ascii="仿宋" w:hAnsi="仿宋" w:eastAsia="仿宋" w:cs="仿宋"/>
                <w:color w:val="000000"/>
                <w:spacing w:val="9"/>
                <w:sz w:val="22"/>
                <w:szCs w:val="22"/>
                <w:highlight w:val="none"/>
              </w:rPr>
              <w:t>管理情况)</w:t>
            </w:r>
          </w:p>
          <w:p>
            <w:pPr>
              <w:pStyle w:val="25"/>
              <w:spacing w:before="37" w:line="236" w:lineRule="auto"/>
              <w:ind w:left="123" w:hanging="10"/>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6.抽查重点病历情况(合理检查、合理用药、合理治疗、计费收费管理、医保</w:t>
            </w:r>
            <w:r>
              <w:rPr>
                <w:rFonts w:hint="eastAsia" w:ascii="仿宋" w:hAnsi="仿宋" w:eastAsia="仿宋" w:cs="仿宋"/>
                <w:color w:val="000000"/>
                <w:spacing w:val="-1"/>
                <w:sz w:val="22"/>
                <w:szCs w:val="22"/>
                <w:highlight w:val="none"/>
              </w:rPr>
              <w:t>基金使用等)。</w:t>
            </w:r>
          </w:p>
          <w:p>
            <w:pPr>
              <w:pStyle w:val="25"/>
              <w:spacing w:before="37" w:line="219" w:lineRule="auto"/>
              <w:ind w:left="1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7.生物医学研究(资质资格、登记备案、伦理审查等)管理情况。</w:t>
            </w:r>
          </w:p>
          <w:p>
            <w:pPr>
              <w:pStyle w:val="25"/>
              <w:spacing w:before="29" w:line="241" w:lineRule="auto"/>
              <w:ind w:left="123" w:hanging="10"/>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8.政策落实情况(公立医疗机构不得开设营利性药店，向出资人、举办者分配</w:t>
            </w:r>
            <w:r>
              <w:rPr>
                <w:rFonts w:hint="eastAsia" w:ascii="仿宋" w:hAnsi="仿宋" w:eastAsia="仿宋" w:cs="仿宋"/>
                <w:color w:val="000000"/>
                <w:spacing w:val="-17"/>
                <w:sz w:val="22"/>
                <w:szCs w:val="22"/>
                <w:highlight w:val="none"/>
              </w:rPr>
              <w:t>或者变相分</w:t>
            </w:r>
            <w:r>
              <w:rPr>
                <w:rFonts w:hint="eastAsia" w:ascii="仿宋" w:hAnsi="仿宋" w:eastAsia="仿宋" w:cs="仿宋"/>
                <w:color w:val="000000"/>
                <w:spacing w:val="-16"/>
                <w:sz w:val="22"/>
                <w:szCs w:val="22"/>
                <w:highlight w:val="none"/>
              </w:rPr>
              <w:t>配收益；公立医疗机构医用耗材“零差率”销售；公立医疗机构医</w:t>
            </w:r>
            <w:r>
              <w:rPr>
                <w:rFonts w:hint="eastAsia" w:ascii="仿宋" w:hAnsi="仿宋" w:eastAsia="仿宋" w:cs="仿宋"/>
                <w:color w:val="000000"/>
                <w:spacing w:val="-11"/>
                <w:sz w:val="22"/>
                <w:szCs w:val="22"/>
                <w:highlight w:val="none"/>
              </w:rPr>
              <w:t>务</w:t>
            </w:r>
            <w:r>
              <w:rPr>
                <w:rFonts w:hint="eastAsia" w:ascii="仿宋" w:hAnsi="仿宋" w:eastAsia="仿宋" w:cs="仿宋"/>
                <w:color w:val="000000"/>
                <w:spacing w:val="9"/>
                <w:sz w:val="22"/>
                <w:szCs w:val="22"/>
                <w:highlight w:val="none"/>
              </w:rPr>
              <w:t xml:space="preserve"> </w:t>
            </w:r>
            <w:r>
              <w:rPr>
                <w:rFonts w:hint="eastAsia" w:ascii="仿宋" w:hAnsi="仿宋" w:eastAsia="仿宋" w:cs="仿宋"/>
                <w:color w:val="000000"/>
                <w:spacing w:val="-1"/>
                <w:sz w:val="22"/>
                <w:szCs w:val="22"/>
                <w:highlight w:val="none"/>
              </w:rPr>
              <w:t>人员薪酬不得与药品、耗材、检查、化验等收入挂钩等)。</w:t>
            </w:r>
          </w:p>
          <w:p>
            <w:pPr>
              <w:pStyle w:val="25"/>
              <w:spacing w:before="30" w:line="219" w:lineRule="auto"/>
              <w:ind w:left="1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9.殡葬涉医领域(死亡证明、亡故患者信息等)管理情</w:t>
            </w:r>
            <w:r>
              <w:rPr>
                <w:rFonts w:hint="eastAsia" w:ascii="仿宋" w:hAnsi="仿宋" w:eastAsia="仿宋" w:cs="仿宋"/>
                <w:color w:val="000000"/>
                <w:spacing w:val="-1"/>
                <w:sz w:val="22"/>
                <w:szCs w:val="22"/>
                <w:highlight w:val="none"/>
              </w:rPr>
              <w:t>况。</w:t>
            </w:r>
          </w:p>
          <w:p>
            <w:pPr>
              <w:pStyle w:val="25"/>
              <w:spacing w:before="39" w:line="219" w:lineRule="auto"/>
              <w:ind w:left="1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10.抽查医疗数据管理情况(恶意泄露、买卖患者就医信息等)。</w:t>
            </w:r>
          </w:p>
          <w:p>
            <w:pPr>
              <w:pStyle w:val="25"/>
              <w:spacing w:before="38" w:line="236" w:lineRule="auto"/>
              <w:ind w:left="124" w:firstLine="9"/>
              <w:rPr>
                <w:rFonts w:hint="eastAsia" w:ascii="仿宋" w:hAnsi="仿宋" w:eastAsia="仿宋" w:cs="仿宋"/>
                <w:color w:val="000000"/>
                <w:sz w:val="22"/>
                <w:szCs w:val="22"/>
                <w:highlight w:val="none"/>
              </w:rPr>
            </w:pPr>
            <w:r>
              <w:rPr>
                <w:rFonts w:hint="eastAsia" w:ascii="仿宋" w:hAnsi="仿宋" w:eastAsia="仿宋" w:cs="仿宋"/>
                <w:color w:val="000000"/>
                <w:spacing w:val="-9"/>
                <w:sz w:val="22"/>
                <w:szCs w:val="22"/>
                <w:highlight w:val="none"/>
              </w:rPr>
              <w:t>11.抽查互联网诊疗管理情况(互联网医院</w:t>
            </w:r>
            <w:r>
              <w:rPr>
                <w:rFonts w:hint="eastAsia" w:ascii="仿宋" w:hAnsi="仿宋" w:eastAsia="仿宋" w:cs="仿宋"/>
                <w:color w:val="000000"/>
                <w:spacing w:val="-10"/>
                <w:sz w:val="22"/>
                <w:szCs w:val="22"/>
                <w:highlight w:val="none"/>
              </w:rPr>
              <w:t>及其所依托的实体医疗机构执业资质</w:t>
            </w:r>
            <w:r>
              <w:rPr>
                <w:rFonts w:hint="eastAsia" w:ascii="仿宋" w:hAnsi="仿宋" w:eastAsia="仿宋" w:cs="仿宋"/>
                <w:color w:val="000000"/>
                <w:sz w:val="22"/>
                <w:szCs w:val="22"/>
                <w:highlight w:val="none"/>
              </w:rPr>
              <w:t xml:space="preserve"> </w:t>
            </w:r>
            <w:r>
              <w:rPr>
                <w:rFonts w:hint="eastAsia" w:ascii="仿宋" w:hAnsi="仿宋" w:eastAsia="仿宋" w:cs="仿宋"/>
                <w:color w:val="000000"/>
                <w:spacing w:val="-1"/>
                <w:sz w:val="22"/>
                <w:szCs w:val="22"/>
                <w:highlight w:val="none"/>
              </w:rPr>
              <w:t>和互联网诊疗活动等)。</w:t>
            </w:r>
          </w:p>
          <w:p>
            <w:pPr>
              <w:pStyle w:val="25"/>
              <w:spacing w:before="38" w:line="217" w:lineRule="auto"/>
              <w:ind w:left="124"/>
              <w:rPr>
                <w:rFonts w:hint="eastAsia" w:ascii="仿宋" w:hAnsi="仿宋" w:eastAsia="仿宋" w:cs="仿宋"/>
                <w:color w:val="000000"/>
                <w:sz w:val="22"/>
                <w:szCs w:val="22"/>
                <w:highlight w:val="none"/>
              </w:rPr>
            </w:pPr>
            <w:r>
              <w:rPr>
                <w:rFonts w:hint="eastAsia" w:ascii="仿宋" w:hAnsi="仿宋" w:eastAsia="仿宋" w:cs="仿宋"/>
                <w:color w:val="000000"/>
                <w:spacing w:val="-9"/>
                <w:sz w:val="22"/>
                <w:szCs w:val="22"/>
                <w:highlight w:val="none"/>
              </w:rPr>
              <w:t>12.抽查欺诈骗保涉医行为情况(伪造病历或医学文书、虚构诊</w:t>
            </w:r>
            <w:r>
              <w:rPr>
                <w:rFonts w:hint="eastAsia" w:ascii="仿宋" w:hAnsi="仿宋" w:eastAsia="仿宋" w:cs="仿宋"/>
                <w:color w:val="000000"/>
                <w:spacing w:val="-10"/>
                <w:sz w:val="22"/>
                <w:szCs w:val="22"/>
                <w:highlight w:val="none"/>
              </w:rPr>
              <w:t>疗服务、无资质</w:t>
            </w:r>
            <w:r>
              <w:rPr>
                <w:rFonts w:hint="eastAsia" w:ascii="仿宋" w:hAnsi="仿宋" w:eastAsia="仿宋" w:cs="仿宋"/>
                <w:color w:val="000000"/>
                <w:spacing w:val="-1"/>
                <w:sz w:val="22"/>
                <w:szCs w:val="22"/>
                <w:highlight w:val="none"/>
              </w:rPr>
              <w:t>或超范围开展诊疗服务、冒用医师签名等)。</w:t>
            </w:r>
          </w:p>
        </w:tc>
        <w:tc>
          <w:tcPr>
            <w:tcW w:w="1634" w:type="dxa"/>
            <w:vMerge w:val="restart"/>
            <w:tcBorders>
              <w:bottom w:val="nil"/>
            </w:tcBorders>
            <w:noWrap w:val="0"/>
            <w:vAlign w:val="top"/>
          </w:tcPr>
          <w:p>
            <w:pPr>
              <w:spacing w:line="262" w:lineRule="auto"/>
              <w:rPr>
                <w:rFonts w:hint="eastAsia" w:ascii="仿宋" w:hAnsi="仿宋" w:eastAsia="仿宋" w:cs="仿宋"/>
                <w:color w:val="000000"/>
                <w:sz w:val="21"/>
                <w:highlight w:val="none"/>
              </w:rPr>
            </w:pPr>
          </w:p>
          <w:p>
            <w:pPr>
              <w:spacing w:line="262" w:lineRule="auto"/>
              <w:rPr>
                <w:rFonts w:hint="eastAsia" w:ascii="仿宋" w:hAnsi="仿宋" w:eastAsia="仿宋" w:cs="仿宋"/>
                <w:color w:val="000000"/>
                <w:sz w:val="21"/>
                <w:highlight w:val="none"/>
              </w:rPr>
            </w:pPr>
          </w:p>
          <w:p>
            <w:pPr>
              <w:spacing w:line="262" w:lineRule="auto"/>
              <w:rPr>
                <w:rFonts w:hint="eastAsia" w:ascii="仿宋" w:hAnsi="仿宋" w:eastAsia="仿宋" w:cs="仿宋"/>
                <w:color w:val="000000"/>
                <w:sz w:val="21"/>
                <w:highlight w:val="none"/>
              </w:rPr>
            </w:pPr>
          </w:p>
          <w:p>
            <w:pPr>
              <w:spacing w:line="262" w:lineRule="auto"/>
              <w:rPr>
                <w:rFonts w:hint="eastAsia" w:ascii="仿宋" w:hAnsi="仿宋" w:eastAsia="仿宋" w:cs="仿宋"/>
                <w:color w:val="000000"/>
                <w:sz w:val="21"/>
                <w:highlight w:val="none"/>
              </w:rPr>
            </w:pPr>
          </w:p>
          <w:p>
            <w:pPr>
              <w:spacing w:line="262" w:lineRule="auto"/>
              <w:rPr>
                <w:rFonts w:hint="eastAsia" w:ascii="仿宋" w:hAnsi="仿宋" w:eastAsia="仿宋" w:cs="仿宋"/>
                <w:color w:val="000000"/>
                <w:sz w:val="21"/>
                <w:highlight w:val="none"/>
              </w:rPr>
            </w:pPr>
          </w:p>
          <w:p>
            <w:pPr>
              <w:spacing w:line="262" w:lineRule="auto"/>
              <w:rPr>
                <w:rFonts w:hint="eastAsia" w:ascii="仿宋" w:hAnsi="仿宋" w:eastAsia="仿宋" w:cs="仿宋"/>
                <w:color w:val="000000"/>
                <w:sz w:val="21"/>
                <w:highlight w:val="none"/>
              </w:rPr>
            </w:pPr>
          </w:p>
          <w:p>
            <w:pPr>
              <w:spacing w:line="262" w:lineRule="auto"/>
              <w:rPr>
                <w:rFonts w:hint="eastAsia" w:ascii="仿宋" w:hAnsi="仿宋" w:eastAsia="仿宋" w:cs="仿宋"/>
                <w:color w:val="000000"/>
                <w:sz w:val="21"/>
                <w:highlight w:val="none"/>
              </w:rPr>
            </w:pPr>
          </w:p>
          <w:p>
            <w:pPr>
              <w:spacing w:line="262" w:lineRule="auto"/>
              <w:rPr>
                <w:rFonts w:hint="eastAsia" w:ascii="仿宋" w:hAnsi="仿宋" w:eastAsia="仿宋" w:cs="仿宋"/>
                <w:color w:val="000000"/>
                <w:sz w:val="21"/>
                <w:highlight w:val="none"/>
              </w:rPr>
            </w:pPr>
          </w:p>
          <w:p>
            <w:pPr>
              <w:spacing w:line="263" w:lineRule="auto"/>
              <w:rPr>
                <w:rFonts w:hint="eastAsia" w:ascii="仿宋" w:hAnsi="仿宋" w:eastAsia="仿宋" w:cs="仿宋"/>
                <w:color w:val="000000"/>
                <w:sz w:val="21"/>
                <w:highlight w:val="none"/>
              </w:rPr>
            </w:pPr>
          </w:p>
          <w:p>
            <w:pPr>
              <w:spacing w:line="263" w:lineRule="auto"/>
              <w:rPr>
                <w:rFonts w:hint="eastAsia" w:ascii="仿宋" w:hAnsi="仿宋" w:eastAsia="仿宋" w:cs="仿宋"/>
                <w:color w:val="000000"/>
                <w:sz w:val="21"/>
                <w:highlight w:val="none"/>
              </w:rPr>
            </w:pPr>
          </w:p>
          <w:p>
            <w:pPr>
              <w:pStyle w:val="25"/>
              <w:spacing w:before="71" w:line="270" w:lineRule="auto"/>
              <w:ind w:left="118" w:firstLine="9"/>
              <w:rPr>
                <w:rFonts w:hint="eastAsia" w:ascii="仿宋" w:hAnsi="仿宋" w:eastAsia="仿宋" w:cs="仿宋"/>
                <w:color w:val="000000"/>
                <w:sz w:val="22"/>
                <w:szCs w:val="22"/>
                <w:highlight w:val="none"/>
              </w:rPr>
            </w:pPr>
            <w:r>
              <w:rPr>
                <w:rFonts w:hint="eastAsia" w:ascii="仿宋" w:hAnsi="仿宋" w:eastAsia="仿宋" w:cs="仿宋"/>
                <w:color w:val="000000"/>
                <w:spacing w:val="-3"/>
                <w:sz w:val="22"/>
                <w:szCs w:val="22"/>
                <w:highlight w:val="none"/>
              </w:rPr>
              <w:t>根据各医疗机</w:t>
            </w:r>
            <w:r>
              <w:rPr>
                <w:rFonts w:hint="eastAsia" w:ascii="仿宋" w:hAnsi="仿宋" w:eastAsia="仿宋" w:cs="仿宋"/>
                <w:color w:val="000000"/>
                <w:spacing w:val="2"/>
                <w:sz w:val="22"/>
                <w:szCs w:val="22"/>
                <w:highlight w:val="none"/>
              </w:rPr>
              <w:t xml:space="preserve">  构业务开展情</w:t>
            </w:r>
            <w:r>
              <w:rPr>
                <w:rFonts w:hint="eastAsia" w:ascii="仿宋" w:hAnsi="仿宋" w:eastAsia="仿宋" w:cs="仿宋"/>
                <w:color w:val="000000"/>
                <w:spacing w:val="1"/>
                <w:sz w:val="22"/>
                <w:szCs w:val="22"/>
                <w:highlight w:val="none"/>
              </w:rPr>
              <w:t xml:space="preserve">  </w:t>
            </w:r>
            <w:r>
              <w:rPr>
                <w:rFonts w:hint="eastAsia" w:ascii="仿宋" w:hAnsi="仿宋" w:eastAsia="仿宋" w:cs="仿宋"/>
                <w:color w:val="000000"/>
                <w:spacing w:val="-5"/>
                <w:sz w:val="22"/>
                <w:szCs w:val="22"/>
                <w:highlight w:val="none"/>
              </w:rPr>
              <w:t>况，检查内容可</w:t>
            </w:r>
            <w:r>
              <w:rPr>
                <w:rFonts w:hint="eastAsia" w:ascii="仿宋" w:hAnsi="仿宋" w:eastAsia="仿宋" w:cs="仿宋"/>
                <w:color w:val="000000"/>
                <w:sz w:val="22"/>
                <w:szCs w:val="22"/>
                <w:highlight w:val="none"/>
              </w:rPr>
              <w:t xml:space="preserve"> </w:t>
            </w:r>
            <w:r>
              <w:rPr>
                <w:rFonts w:hint="eastAsia" w:ascii="仿宋" w:hAnsi="仿宋" w:eastAsia="仿宋" w:cs="仿宋"/>
                <w:color w:val="000000"/>
                <w:spacing w:val="1"/>
                <w:sz w:val="22"/>
                <w:szCs w:val="22"/>
                <w:highlight w:val="none"/>
              </w:rPr>
              <w:t>合理缺项。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974" w:type="dxa"/>
            <w:noWrap w:val="0"/>
            <w:vAlign w:val="top"/>
          </w:tcPr>
          <w:p>
            <w:pPr>
              <w:spacing w:line="300" w:lineRule="auto"/>
              <w:rPr>
                <w:rFonts w:hint="eastAsia" w:ascii="仿宋" w:hAnsi="仿宋" w:eastAsia="仿宋" w:cs="仿宋"/>
                <w:color w:val="000000"/>
                <w:sz w:val="21"/>
                <w:highlight w:val="none"/>
              </w:rPr>
            </w:pPr>
          </w:p>
          <w:p>
            <w:pPr>
              <w:pStyle w:val="25"/>
              <w:spacing w:before="72" w:line="241" w:lineRule="auto"/>
              <w:ind w:left="4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2</w:t>
            </w:r>
          </w:p>
        </w:tc>
        <w:tc>
          <w:tcPr>
            <w:tcW w:w="3328" w:type="dxa"/>
            <w:noWrap w:val="0"/>
            <w:vAlign w:val="top"/>
          </w:tcPr>
          <w:p>
            <w:pPr>
              <w:spacing w:line="278" w:lineRule="auto"/>
              <w:rPr>
                <w:rFonts w:hint="eastAsia" w:ascii="仿宋" w:hAnsi="仿宋" w:eastAsia="仿宋" w:cs="仿宋"/>
                <w:color w:val="000000"/>
                <w:sz w:val="21"/>
                <w:highlight w:val="none"/>
              </w:rPr>
            </w:pPr>
          </w:p>
          <w:p>
            <w:pPr>
              <w:pStyle w:val="25"/>
              <w:spacing w:before="72" w:line="219" w:lineRule="auto"/>
              <w:ind w:left="771"/>
              <w:rPr>
                <w:rFonts w:hint="eastAsia" w:ascii="仿宋" w:hAnsi="仿宋" w:eastAsia="仿宋" w:cs="仿宋"/>
                <w:color w:val="000000"/>
                <w:sz w:val="22"/>
                <w:szCs w:val="22"/>
                <w:highlight w:val="none"/>
              </w:rPr>
            </w:pPr>
            <w:r>
              <w:rPr>
                <w:rFonts w:hint="eastAsia" w:ascii="仿宋" w:hAnsi="仿宋" w:eastAsia="仿宋" w:cs="仿宋"/>
                <w:color w:val="000000"/>
                <w:spacing w:val="1"/>
                <w:sz w:val="22"/>
                <w:szCs w:val="22"/>
                <w:highlight w:val="none"/>
              </w:rPr>
              <w:t>社区卫生服务中心</w:t>
            </w:r>
          </w:p>
        </w:tc>
        <w:tc>
          <w:tcPr>
            <w:tcW w:w="1239" w:type="dxa"/>
            <w:vMerge w:val="restart"/>
            <w:tcBorders>
              <w:bottom w:val="nil"/>
            </w:tcBorders>
            <w:noWrap w:val="0"/>
            <w:vAlign w:val="top"/>
          </w:tcPr>
          <w:p>
            <w:pPr>
              <w:spacing w:line="259" w:lineRule="auto"/>
              <w:rPr>
                <w:rFonts w:hint="eastAsia" w:ascii="仿宋" w:hAnsi="仿宋" w:eastAsia="仿宋" w:cs="仿宋"/>
                <w:color w:val="000000"/>
                <w:sz w:val="21"/>
                <w:highlight w:val="none"/>
              </w:rPr>
            </w:pPr>
          </w:p>
          <w:p>
            <w:pPr>
              <w:spacing w:line="259" w:lineRule="auto"/>
              <w:rPr>
                <w:rFonts w:hint="eastAsia" w:ascii="仿宋" w:hAnsi="仿宋" w:eastAsia="仿宋" w:cs="仿宋"/>
                <w:color w:val="000000"/>
                <w:sz w:val="21"/>
                <w:highlight w:val="none"/>
              </w:rPr>
            </w:pPr>
          </w:p>
          <w:p>
            <w:pPr>
              <w:spacing w:line="259" w:lineRule="auto"/>
              <w:rPr>
                <w:rFonts w:hint="eastAsia" w:ascii="仿宋" w:hAnsi="仿宋" w:eastAsia="仿宋" w:cs="仿宋"/>
                <w:color w:val="000000"/>
                <w:sz w:val="21"/>
                <w:highlight w:val="none"/>
              </w:rPr>
            </w:pPr>
          </w:p>
          <w:p>
            <w:pPr>
              <w:spacing w:line="259" w:lineRule="auto"/>
              <w:rPr>
                <w:rFonts w:hint="eastAsia" w:ascii="仿宋" w:hAnsi="仿宋" w:eastAsia="仿宋" w:cs="仿宋"/>
                <w:color w:val="000000"/>
                <w:sz w:val="21"/>
                <w:highlight w:val="none"/>
              </w:rPr>
            </w:pPr>
          </w:p>
          <w:p>
            <w:pPr>
              <w:spacing w:line="260" w:lineRule="auto"/>
              <w:rPr>
                <w:rFonts w:hint="eastAsia" w:ascii="仿宋" w:hAnsi="仿宋" w:eastAsia="仿宋" w:cs="仿宋"/>
                <w:color w:val="000000"/>
                <w:sz w:val="21"/>
                <w:highlight w:val="none"/>
              </w:rPr>
            </w:pPr>
          </w:p>
          <w:p>
            <w:pPr>
              <w:spacing w:line="260" w:lineRule="auto"/>
              <w:rPr>
                <w:rFonts w:hint="eastAsia" w:ascii="仿宋" w:hAnsi="仿宋" w:eastAsia="仿宋" w:cs="仿宋"/>
                <w:color w:val="000000"/>
                <w:sz w:val="21"/>
                <w:highlight w:val="none"/>
              </w:rPr>
            </w:pPr>
          </w:p>
          <w:p>
            <w:pPr>
              <w:spacing w:line="260" w:lineRule="auto"/>
              <w:rPr>
                <w:rFonts w:hint="eastAsia" w:ascii="仿宋" w:hAnsi="仿宋" w:eastAsia="仿宋" w:cs="仿宋"/>
                <w:color w:val="000000"/>
                <w:sz w:val="21"/>
                <w:highlight w:val="none"/>
              </w:rPr>
            </w:pPr>
          </w:p>
          <w:p>
            <w:pPr>
              <w:spacing w:line="260" w:lineRule="auto"/>
              <w:rPr>
                <w:rFonts w:hint="eastAsia" w:ascii="仿宋" w:hAnsi="仿宋" w:eastAsia="仿宋" w:cs="仿宋"/>
                <w:color w:val="000000"/>
                <w:sz w:val="21"/>
                <w:highlight w:val="none"/>
              </w:rPr>
            </w:pPr>
          </w:p>
          <w:p>
            <w:pPr>
              <w:spacing w:line="260" w:lineRule="auto"/>
              <w:rPr>
                <w:rFonts w:hint="eastAsia" w:ascii="仿宋" w:hAnsi="仿宋" w:eastAsia="仿宋" w:cs="仿宋"/>
                <w:color w:val="000000"/>
                <w:sz w:val="21"/>
                <w:highlight w:val="none"/>
              </w:rPr>
            </w:pPr>
          </w:p>
          <w:p>
            <w:pPr>
              <w:spacing w:line="260" w:lineRule="auto"/>
              <w:rPr>
                <w:rFonts w:hint="eastAsia" w:ascii="仿宋" w:hAnsi="仿宋" w:eastAsia="仿宋" w:cs="仿宋"/>
                <w:color w:val="000000"/>
                <w:sz w:val="21"/>
                <w:highlight w:val="none"/>
              </w:rPr>
            </w:pPr>
          </w:p>
          <w:p>
            <w:pPr>
              <w:pStyle w:val="25"/>
              <w:spacing w:before="71"/>
              <w:ind w:left="503"/>
              <w:rPr>
                <w:rFonts w:hint="eastAsia" w:ascii="仿宋" w:hAnsi="仿宋" w:eastAsia="仿宋" w:cs="仿宋"/>
                <w:color w:val="000000"/>
                <w:sz w:val="22"/>
                <w:szCs w:val="22"/>
                <w:highlight w:val="none"/>
              </w:rPr>
            </w:pPr>
            <w:r>
              <w:rPr>
                <w:rFonts w:hint="eastAsia" w:ascii="仿宋" w:hAnsi="仿宋" w:eastAsia="仿宋" w:cs="仿宋"/>
                <w:color w:val="000000"/>
                <w:spacing w:val="-4"/>
                <w:sz w:val="22"/>
                <w:szCs w:val="22"/>
                <w:highlight w:val="none"/>
              </w:rPr>
              <w:t>5%</w:t>
            </w:r>
          </w:p>
        </w:tc>
        <w:tc>
          <w:tcPr>
            <w:tcW w:w="7285"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1634" w:type="dxa"/>
            <w:vMerge w:val="continue"/>
            <w:tcBorders>
              <w:top w:val="nil"/>
              <w:bottom w:val="nil"/>
            </w:tcBorders>
            <w:noWrap w:val="0"/>
            <w:vAlign w:val="top"/>
          </w:tcPr>
          <w:p>
            <w:pPr>
              <w:rPr>
                <w:rFonts w:hint="eastAsia" w:ascii="仿宋" w:hAnsi="仿宋" w:eastAsia="仿宋" w:cs="仿宋"/>
                <w:color w:val="00000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974" w:type="dxa"/>
            <w:noWrap w:val="0"/>
            <w:vAlign w:val="top"/>
          </w:tcPr>
          <w:p>
            <w:pPr>
              <w:spacing w:line="251" w:lineRule="auto"/>
              <w:rPr>
                <w:rFonts w:hint="eastAsia" w:ascii="仿宋" w:hAnsi="仿宋" w:eastAsia="仿宋" w:cs="仿宋"/>
                <w:color w:val="000000"/>
                <w:sz w:val="21"/>
                <w:highlight w:val="none"/>
              </w:rPr>
            </w:pPr>
          </w:p>
          <w:p>
            <w:pPr>
              <w:pStyle w:val="25"/>
              <w:spacing w:before="71"/>
              <w:ind w:left="4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w:t>
            </w:r>
          </w:p>
        </w:tc>
        <w:tc>
          <w:tcPr>
            <w:tcW w:w="3328" w:type="dxa"/>
            <w:noWrap w:val="0"/>
            <w:vAlign w:val="top"/>
          </w:tcPr>
          <w:p>
            <w:pPr>
              <w:pStyle w:val="25"/>
              <w:spacing w:before="303" w:line="219" w:lineRule="auto"/>
              <w:ind w:left="880"/>
              <w:rPr>
                <w:rFonts w:hint="eastAsia" w:ascii="仿宋" w:hAnsi="仿宋" w:eastAsia="仿宋" w:cs="仿宋"/>
                <w:color w:val="000000"/>
                <w:sz w:val="22"/>
                <w:szCs w:val="22"/>
                <w:highlight w:val="none"/>
              </w:rPr>
            </w:pPr>
            <w:r>
              <w:rPr>
                <w:rFonts w:hint="eastAsia" w:ascii="仿宋" w:hAnsi="仿宋" w:eastAsia="仿宋" w:cs="仿宋"/>
                <w:color w:val="000000"/>
                <w:spacing w:val="1"/>
                <w:sz w:val="22"/>
                <w:szCs w:val="22"/>
                <w:highlight w:val="none"/>
              </w:rPr>
              <w:t>社区卫生服务站</w:t>
            </w:r>
          </w:p>
        </w:tc>
        <w:tc>
          <w:tcPr>
            <w:tcW w:w="1239"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7285"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1634" w:type="dxa"/>
            <w:vMerge w:val="continue"/>
            <w:tcBorders>
              <w:top w:val="nil"/>
              <w:bottom w:val="nil"/>
            </w:tcBorders>
            <w:noWrap w:val="0"/>
            <w:vAlign w:val="top"/>
          </w:tcPr>
          <w:p>
            <w:pPr>
              <w:rPr>
                <w:rFonts w:hint="eastAsia" w:ascii="仿宋" w:hAnsi="仿宋" w:eastAsia="仿宋" w:cs="仿宋"/>
                <w:color w:val="00000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974" w:type="dxa"/>
            <w:noWrap w:val="0"/>
            <w:vAlign w:val="top"/>
          </w:tcPr>
          <w:p>
            <w:pPr>
              <w:spacing w:line="282" w:lineRule="auto"/>
              <w:rPr>
                <w:rFonts w:hint="eastAsia" w:ascii="仿宋" w:hAnsi="仿宋" w:eastAsia="仿宋" w:cs="仿宋"/>
                <w:color w:val="000000"/>
                <w:sz w:val="21"/>
                <w:highlight w:val="none"/>
              </w:rPr>
            </w:pPr>
          </w:p>
          <w:p>
            <w:pPr>
              <w:pStyle w:val="25"/>
              <w:spacing w:before="72" w:line="241" w:lineRule="auto"/>
              <w:ind w:left="4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w:t>
            </w:r>
          </w:p>
        </w:tc>
        <w:tc>
          <w:tcPr>
            <w:tcW w:w="3328" w:type="dxa"/>
            <w:noWrap w:val="0"/>
            <w:vAlign w:val="top"/>
          </w:tcPr>
          <w:p>
            <w:pPr>
              <w:spacing w:line="261" w:lineRule="auto"/>
              <w:rPr>
                <w:rFonts w:hint="eastAsia" w:ascii="仿宋" w:hAnsi="仿宋" w:eastAsia="仿宋" w:cs="仿宋"/>
                <w:color w:val="000000"/>
                <w:sz w:val="21"/>
                <w:highlight w:val="none"/>
              </w:rPr>
            </w:pPr>
          </w:p>
          <w:p>
            <w:pPr>
              <w:pStyle w:val="25"/>
              <w:spacing w:before="72" w:line="220" w:lineRule="auto"/>
              <w:ind w:left="1321"/>
              <w:rPr>
                <w:rFonts w:hint="eastAsia" w:ascii="仿宋" w:hAnsi="仿宋" w:eastAsia="仿宋" w:cs="仿宋"/>
                <w:color w:val="000000"/>
                <w:sz w:val="22"/>
                <w:szCs w:val="22"/>
                <w:highlight w:val="none"/>
              </w:rPr>
            </w:pPr>
            <w:r>
              <w:rPr>
                <w:rFonts w:hint="eastAsia" w:ascii="仿宋" w:hAnsi="仿宋" w:eastAsia="仿宋" w:cs="仿宋"/>
                <w:color w:val="000000"/>
                <w:spacing w:val="4"/>
                <w:sz w:val="22"/>
                <w:szCs w:val="22"/>
                <w:highlight w:val="none"/>
              </w:rPr>
              <w:t>卫生院</w:t>
            </w:r>
          </w:p>
        </w:tc>
        <w:tc>
          <w:tcPr>
            <w:tcW w:w="1239"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7285"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1634" w:type="dxa"/>
            <w:vMerge w:val="continue"/>
            <w:tcBorders>
              <w:top w:val="nil"/>
              <w:bottom w:val="nil"/>
            </w:tcBorders>
            <w:noWrap w:val="0"/>
            <w:vAlign w:val="top"/>
          </w:tcPr>
          <w:p>
            <w:pPr>
              <w:rPr>
                <w:rFonts w:hint="eastAsia" w:ascii="仿宋" w:hAnsi="仿宋" w:eastAsia="仿宋" w:cs="仿宋"/>
                <w:color w:val="00000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974" w:type="dxa"/>
            <w:noWrap w:val="0"/>
            <w:vAlign w:val="top"/>
          </w:tcPr>
          <w:p>
            <w:pPr>
              <w:spacing w:line="263" w:lineRule="auto"/>
              <w:rPr>
                <w:rFonts w:hint="eastAsia" w:ascii="仿宋" w:hAnsi="仿宋" w:eastAsia="仿宋" w:cs="仿宋"/>
                <w:color w:val="000000"/>
                <w:sz w:val="21"/>
                <w:highlight w:val="none"/>
              </w:rPr>
            </w:pPr>
          </w:p>
          <w:p>
            <w:pPr>
              <w:pStyle w:val="25"/>
              <w:spacing w:before="71"/>
              <w:ind w:left="4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5</w:t>
            </w:r>
          </w:p>
        </w:tc>
        <w:tc>
          <w:tcPr>
            <w:tcW w:w="3328" w:type="dxa"/>
            <w:noWrap w:val="0"/>
            <w:vAlign w:val="top"/>
          </w:tcPr>
          <w:p>
            <w:pPr>
              <w:rPr>
                <w:rFonts w:hint="eastAsia" w:ascii="仿宋" w:hAnsi="仿宋" w:eastAsia="仿宋" w:cs="仿宋"/>
                <w:color w:val="000000"/>
                <w:sz w:val="21"/>
                <w:highlight w:val="none"/>
              </w:rPr>
            </w:pPr>
          </w:p>
          <w:p>
            <w:pPr>
              <w:pStyle w:val="25"/>
              <w:spacing w:before="72" w:line="219" w:lineRule="auto"/>
              <w:ind w:left="990"/>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村卫生室(所)</w:t>
            </w:r>
          </w:p>
        </w:tc>
        <w:tc>
          <w:tcPr>
            <w:tcW w:w="1239"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7285"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1634" w:type="dxa"/>
            <w:vMerge w:val="continue"/>
            <w:tcBorders>
              <w:top w:val="nil"/>
              <w:bottom w:val="nil"/>
            </w:tcBorders>
            <w:noWrap w:val="0"/>
            <w:vAlign w:val="top"/>
          </w:tcPr>
          <w:p>
            <w:pPr>
              <w:rPr>
                <w:rFonts w:hint="eastAsia" w:ascii="仿宋" w:hAnsi="仿宋" w:eastAsia="仿宋" w:cs="仿宋"/>
                <w:color w:val="00000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974" w:type="dxa"/>
            <w:vMerge w:val="restart"/>
            <w:tcBorders>
              <w:bottom w:val="nil"/>
            </w:tcBorders>
            <w:noWrap w:val="0"/>
            <w:vAlign w:val="top"/>
          </w:tcPr>
          <w:p>
            <w:pPr>
              <w:spacing w:line="293" w:lineRule="auto"/>
              <w:rPr>
                <w:rFonts w:hint="eastAsia" w:ascii="仿宋" w:hAnsi="仿宋" w:eastAsia="仿宋" w:cs="仿宋"/>
                <w:color w:val="000000"/>
                <w:sz w:val="21"/>
                <w:highlight w:val="none"/>
              </w:rPr>
            </w:pPr>
          </w:p>
          <w:p>
            <w:pPr>
              <w:spacing w:line="293" w:lineRule="auto"/>
              <w:rPr>
                <w:rFonts w:hint="eastAsia" w:ascii="仿宋" w:hAnsi="仿宋" w:eastAsia="仿宋" w:cs="仿宋"/>
                <w:color w:val="000000"/>
                <w:sz w:val="21"/>
                <w:highlight w:val="none"/>
              </w:rPr>
            </w:pPr>
          </w:p>
          <w:p>
            <w:pPr>
              <w:spacing w:line="294" w:lineRule="auto"/>
              <w:rPr>
                <w:rFonts w:hint="eastAsia" w:ascii="仿宋" w:hAnsi="仿宋" w:eastAsia="仿宋" w:cs="仿宋"/>
                <w:color w:val="000000"/>
                <w:sz w:val="21"/>
                <w:highlight w:val="none"/>
              </w:rPr>
            </w:pPr>
          </w:p>
          <w:p>
            <w:pPr>
              <w:pStyle w:val="25"/>
              <w:spacing w:before="72"/>
              <w:ind w:left="424"/>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6</w:t>
            </w:r>
          </w:p>
        </w:tc>
        <w:tc>
          <w:tcPr>
            <w:tcW w:w="3328" w:type="dxa"/>
            <w:noWrap w:val="0"/>
            <w:vAlign w:val="top"/>
          </w:tcPr>
          <w:p>
            <w:pPr>
              <w:spacing w:line="253" w:lineRule="auto"/>
              <w:rPr>
                <w:rFonts w:hint="eastAsia" w:ascii="仿宋" w:hAnsi="仿宋" w:eastAsia="仿宋" w:cs="仿宋"/>
                <w:color w:val="000000"/>
                <w:sz w:val="21"/>
                <w:highlight w:val="none"/>
              </w:rPr>
            </w:pPr>
          </w:p>
          <w:p>
            <w:pPr>
              <w:pStyle w:val="25"/>
              <w:spacing w:before="72" w:line="220" w:lineRule="auto"/>
              <w:ind w:left="1380"/>
              <w:rPr>
                <w:rFonts w:hint="eastAsia" w:ascii="仿宋" w:hAnsi="仿宋" w:eastAsia="仿宋" w:cs="仿宋"/>
                <w:color w:val="000000"/>
                <w:sz w:val="22"/>
                <w:szCs w:val="22"/>
                <w:highlight w:val="none"/>
              </w:rPr>
            </w:pPr>
            <w:r>
              <w:rPr>
                <w:rFonts w:hint="eastAsia" w:ascii="仿宋" w:hAnsi="仿宋" w:eastAsia="仿宋" w:cs="仿宋"/>
                <w:color w:val="000000"/>
                <w:spacing w:val="-5"/>
                <w:sz w:val="22"/>
                <w:szCs w:val="22"/>
                <w:highlight w:val="none"/>
              </w:rPr>
              <w:t>诊</w:t>
            </w:r>
            <w:r>
              <w:rPr>
                <w:rFonts w:hint="eastAsia" w:ascii="仿宋" w:hAnsi="仿宋" w:eastAsia="仿宋" w:cs="仿宋"/>
                <w:color w:val="000000"/>
                <w:spacing w:val="8"/>
                <w:sz w:val="22"/>
                <w:szCs w:val="22"/>
                <w:highlight w:val="none"/>
              </w:rPr>
              <w:t xml:space="preserve"> </w:t>
            </w:r>
            <w:r>
              <w:rPr>
                <w:rFonts w:hint="eastAsia" w:ascii="仿宋" w:hAnsi="仿宋" w:eastAsia="仿宋" w:cs="仿宋"/>
                <w:color w:val="000000"/>
                <w:spacing w:val="-5"/>
                <w:sz w:val="22"/>
                <w:szCs w:val="22"/>
                <w:highlight w:val="none"/>
              </w:rPr>
              <w:t>所</w:t>
            </w:r>
          </w:p>
        </w:tc>
        <w:tc>
          <w:tcPr>
            <w:tcW w:w="1239"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7285" w:type="dxa"/>
            <w:vMerge w:val="continue"/>
            <w:tcBorders>
              <w:top w:val="nil"/>
              <w:bottom w:val="nil"/>
            </w:tcBorders>
            <w:noWrap w:val="0"/>
            <w:vAlign w:val="top"/>
          </w:tcPr>
          <w:p>
            <w:pPr>
              <w:rPr>
                <w:rFonts w:hint="eastAsia" w:ascii="仿宋" w:hAnsi="仿宋" w:eastAsia="仿宋" w:cs="仿宋"/>
                <w:color w:val="000000"/>
                <w:sz w:val="21"/>
                <w:highlight w:val="none"/>
              </w:rPr>
            </w:pPr>
          </w:p>
        </w:tc>
        <w:tc>
          <w:tcPr>
            <w:tcW w:w="1634" w:type="dxa"/>
            <w:vMerge w:val="continue"/>
            <w:tcBorders>
              <w:top w:val="nil"/>
              <w:bottom w:val="nil"/>
            </w:tcBorders>
            <w:noWrap w:val="0"/>
            <w:vAlign w:val="top"/>
          </w:tcPr>
          <w:p>
            <w:pPr>
              <w:rPr>
                <w:rFonts w:hint="eastAsia" w:ascii="仿宋" w:hAnsi="仿宋" w:eastAsia="仿宋" w:cs="仿宋"/>
                <w:color w:val="00000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jc w:val="center"/>
        </w:trPr>
        <w:tc>
          <w:tcPr>
            <w:tcW w:w="974" w:type="dxa"/>
            <w:vMerge w:val="continue"/>
            <w:tcBorders>
              <w:top w:val="nil"/>
            </w:tcBorders>
            <w:noWrap w:val="0"/>
            <w:vAlign w:val="top"/>
          </w:tcPr>
          <w:p>
            <w:pPr>
              <w:rPr>
                <w:rFonts w:hint="eastAsia" w:ascii="仿宋" w:hAnsi="仿宋" w:eastAsia="仿宋" w:cs="仿宋"/>
                <w:color w:val="000000"/>
                <w:sz w:val="21"/>
                <w:highlight w:val="none"/>
              </w:rPr>
            </w:pPr>
          </w:p>
        </w:tc>
        <w:tc>
          <w:tcPr>
            <w:tcW w:w="3328" w:type="dxa"/>
            <w:noWrap w:val="0"/>
            <w:vAlign w:val="top"/>
          </w:tcPr>
          <w:p>
            <w:pPr>
              <w:spacing w:line="431" w:lineRule="auto"/>
              <w:rPr>
                <w:rFonts w:hint="eastAsia" w:ascii="仿宋" w:hAnsi="仿宋" w:eastAsia="仿宋" w:cs="仿宋"/>
                <w:color w:val="000000"/>
                <w:sz w:val="21"/>
                <w:highlight w:val="none"/>
              </w:rPr>
            </w:pPr>
          </w:p>
          <w:p>
            <w:pPr>
              <w:pStyle w:val="25"/>
              <w:spacing w:before="72" w:line="219" w:lineRule="auto"/>
              <w:ind w:left="990"/>
              <w:rPr>
                <w:rFonts w:hint="eastAsia" w:ascii="仿宋" w:hAnsi="仿宋" w:eastAsia="仿宋" w:cs="仿宋"/>
                <w:color w:val="000000"/>
                <w:sz w:val="22"/>
                <w:szCs w:val="22"/>
                <w:highlight w:val="none"/>
              </w:rPr>
            </w:pPr>
            <w:r>
              <w:rPr>
                <w:rFonts w:hint="eastAsia" w:ascii="仿宋" w:hAnsi="仿宋" w:eastAsia="仿宋" w:cs="仿宋"/>
                <w:color w:val="000000"/>
                <w:spacing w:val="2"/>
                <w:sz w:val="22"/>
                <w:szCs w:val="22"/>
                <w:highlight w:val="none"/>
              </w:rPr>
              <w:t>其他医疗机构</w:t>
            </w:r>
          </w:p>
        </w:tc>
        <w:tc>
          <w:tcPr>
            <w:tcW w:w="1239" w:type="dxa"/>
            <w:vMerge w:val="continue"/>
            <w:tcBorders>
              <w:top w:val="nil"/>
            </w:tcBorders>
            <w:noWrap w:val="0"/>
            <w:vAlign w:val="top"/>
          </w:tcPr>
          <w:p>
            <w:pPr>
              <w:rPr>
                <w:rFonts w:hint="eastAsia" w:ascii="仿宋" w:hAnsi="仿宋" w:eastAsia="仿宋" w:cs="仿宋"/>
                <w:color w:val="000000"/>
                <w:sz w:val="21"/>
                <w:highlight w:val="none"/>
              </w:rPr>
            </w:pPr>
          </w:p>
        </w:tc>
        <w:tc>
          <w:tcPr>
            <w:tcW w:w="7285" w:type="dxa"/>
            <w:vMerge w:val="continue"/>
            <w:tcBorders>
              <w:top w:val="nil"/>
            </w:tcBorders>
            <w:noWrap w:val="0"/>
            <w:vAlign w:val="top"/>
          </w:tcPr>
          <w:p>
            <w:pPr>
              <w:rPr>
                <w:rFonts w:hint="eastAsia" w:ascii="仿宋" w:hAnsi="仿宋" w:eastAsia="仿宋" w:cs="仿宋"/>
                <w:color w:val="000000"/>
                <w:sz w:val="21"/>
                <w:highlight w:val="none"/>
              </w:rPr>
            </w:pPr>
          </w:p>
        </w:tc>
        <w:tc>
          <w:tcPr>
            <w:tcW w:w="1634" w:type="dxa"/>
            <w:vMerge w:val="continue"/>
            <w:tcBorders>
              <w:top w:val="nil"/>
            </w:tcBorders>
            <w:noWrap w:val="0"/>
            <w:vAlign w:val="top"/>
          </w:tcPr>
          <w:p>
            <w:pPr>
              <w:rPr>
                <w:rFonts w:hint="eastAsia" w:ascii="仿宋" w:hAnsi="仿宋" w:eastAsia="仿宋" w:cs="仿宋"/>
                <w:color w:val="000000"/>
                <w:sz w:val="21"/>
                <w:highlight w:val="none"/>
              </w:rPr>
            </w:pPr>
          </w:p>
        </w:tc>
      </w:tr>
    </w:tbl>
    <w:p>
      <w:pPr>
        <w:spacing w:line="88" w:lineRule="exact"/>
        <w:rPr>
          <w:rFonts w:ascii="Arial" w:hAnsi="Arial" w:eastAsia="Arial" w:cs="Arial"/>
          <w:color w:val="000000"/>
          <w:sz w:val="7"/>
          <w:szCs w:val="7"/>
          <w:highlight w:val="none"/>
        </w:rPr>
        <w:sectPr>
          <w:footerReference r:id="rId5" w:type="default"/>
          <w:pgSz w:w="16840" w:h="11910"/>
          <w:pgMar w:top="400" w:right="1334" w:bottom="1736" w:left="1035" w:header="0" w:footer="1334"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spacing w:val="16"/>
          <w:sz w:val="21"/>
          <w:szCs w:val="21"/>
          <w:highlight w:val="none"/>
          <w:lang w:val="en-US" w:eastAsia="zh-CN"/>
        </w:rPr>
      </w:pPr>
      <w:r>
        <w:rPr>
          <w:rFonts w:ascii="黑体" w:hAnsi="黑体" w:eastAsia="黑体" w:cs="黑体"/>
          <w:b w:val="0"/>
          <w:bCs w:val="0"/>
          <w:color w:val="000000"/>
          <w:spacing w:val="16"/>
          <w:sz w:val="32"/>
          <w:szCs w:val="32"/>
          <w:highlight w:val="none"/>
        </w:rPr>
        <w:t>附表</w:t>
      </w:r>
      <w:r>
        <w:rPr>
          <w:rFonts w:hint="eastAsia" w:ascii="黑体" w:hAnsi="黑体" w:eastAsia="黑体" w:cs="黑体"/>
          <w:b w:val="0"/>
          <w:bCs w:val="0"/>
          <w:color w:val="000000"/>
          <w:spacing w:val="16"/>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before="104" w:line="400" w:lineRule="exact"/>
        <w:ind w:left="19"/>
        <w:jc w:val="center"/>
        <w:textAlignment w:val="auto"/>
        <w:rPr>
          <w:rFonts w:hint="eastAsia" w:ascii="方正小标宋简体" w:hAnsi="方正小标宋简体" w:eastAsia="方正小标宋简体" w:cs="方正小标宋简体"/>
          <w:color w:val="000000"/>
          <w:spacing w:val="1"/>
          <w:kern w:val="0"/>
          <w:sz w:val="44"/>
          <w:szCs w:val="44"/>
          <w:highlight w:val="none"/>
          <w:lang w:val="en-US" w:eastAsia="zh-CN" w:bidi="zh-CN"/>
        </w:rPr>
      </w:pPr>
      <w:r>
        <w:rPr>
          <w:rFonts w:hint="eastAsia" w:ascii="方正小标宋简体" w:hAnsi="方正小标宋简体" w:eastAsia="方正小标宋简体" w:cs="方正小标宋简体"/>
          <w:color w:val="000000"/>
          <w:spacing w:val="1"/>
          <w:kern w:val="0"/>
          <w:sz w:val="44"/>
          <w:szCs w:val="44"/>
          <w:highlight w:val="none"/>
          <w:lang w:val="en-US" w:eastAsia="zh-CN" w:bidi="zh-CN"/>
        </w:rPr>
        <w:t>2025年医疗机构国家随机监督抽查汇总表</w:t>
      </w:r>
    </w:p>
    <w:tbl>
      <w:tblPr>
        <w:tblStyle w:val="11"/>
        <w:tblW w:w="14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447"/>
        <w:gridCol w:w="630"/>
        <w:gridCol w:w="446"/>
        <w:gridCol w:w="412"/>
        <w:gridCol w:w="745"/>
        <w:gridCol w:w="458"/>
        <w:gridCol w:w="435"/>
        <w:gridCol w:w="435"/>
        <w:gridCol w:w="424"/>
        <w:gridCol w:w="584"/>
        <w:gridCol w:w="435"/>
        <w:gridCol w:w="400"/>
        <w:gridCol w:w="332"/>
        <w:gridCol w:w="378"/>
        <w:gridCol w:w="367"/>
        <w:gridCol w:w="343"/>
        <w:gridCol w:w="412"/>
        <w:gridCol w:w="344"/>
        <w:gridCol w:w="298"/>
        <w:gridCol w:w="400"/>
        <w:gridCol w:w="378"/>
        <w:gridCol w:w="401"/>
        <w:gridCol w:w="355"/>
        <w:gridCol w:w="309"/>
        <w:gridCol w:w="390"/>
        <w:gridCol w:w="675"/>
        <w:gridCol w:w="338"/>
        <w:gridCol w:w="395"/>
        <w:gridCol w:w="1"/>
        <w:gridCol w:w="354"/>
        <w:gridCol w:w="435"/>
        <w:gridCol w:w="412"/>
        <w:gridCol w:w="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单位类别</w:t>
            </w:r>
          </w:p>
        </w:tc>
        <w:tc>
          <w:tcPr>
            <w:tcW w:w="11967" w:type="dxa"/>
            <w:gridSpan w:val="29"/>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不合格情况</w:t>
            </w:r>
          </w:p>
        </w:tc>
        <w:tc>
          <w:tcPr>
            <w:tcW w:w="1587" w:type="dxa"/>
            <w:gridSpan w:val="4"/>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1077"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医疗机构资质管理</w:t>
            </w:r>
          </w:p>
        </w:tc>
        <w:tc>
          <w:tcPr>
            <w:tcW w:w="3355"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医疗卫生人员管理</w:t>
            </w:r>
          </w:p>
        </w:tc>
        <w:tc>
          <w:tcPr>
            <w:tcW w:w="1419"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药品和医疗器械管理</w:t>
            </w:r>
          </w:p>
        </w:tc>
        <w:tc>
          <w:tcPr>
            <w:tcW w:w="1832"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医疗技术与生物医学研究管理</w:t>
            </w:r>
          </w:p>
        </w:tc>
        <w:tc>
          <w:tcPr>
            <w:tcW w:w="14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医疗文书管理</w:t>
            </w:r>
          </w:p>
        </w:tc>
        <w:tc>
          <w:tcPr>
            <w:tcW w:w="1065"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政策落实</w:t>
            </w:r>
          </w:p>
        </w:tc>
        <w:tc>
          <w:tcPr>
            <w:tcW w:w="1799"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重点领域执法</w:t>
            </w:r>
          </w:p>
        </w:tc>
        <w:tc>
          <w:tcPr>
            <w:tcW w:w="1587" w:type="dxa"/>
            <w:gridSpan w:val="4"/>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执业许可证管理不符合要求单位数</w:t>
            </w: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医疗机构诊疗活动管理不符合要求单位数</w:t>
            </w: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医师管理不符合要求单位数</w:t>
            </w: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外国医师管理不符合要求单位数</w:t>
            </w: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香港、澳门特别行政区医师管理不符合要求单位数</w:t>
            </w: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台湾医师管理不符合要求单位数</w:t>
            </w: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乡村医生管理不符合要求单位数</w:t>
            </w: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护士管理不符合要求单位数</w:t>
            </w: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医技人员管理不符合要求单位数</w:t>
            </w: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医疗用毒性药品、麻醉药品和精神药品管理不符合要求单位数</w:t>
            </w: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抗菌药物管理不符合要求单位数</w:t>
            </w: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医疗器械管理不符合要求单位数</w:t>
            </w: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禁止</w:t>
            </w:r>
            <w:r>
              <w:rPr>
                <w:rFonts w:hint="eastAsia" w:ascii="仿宋" w:hAnsi="仿宋" w:eastAsia="仿宋" w:cs="仿宋"/>
                <w:color w:val="000000"/>
                <w:sz w:val="18"/>
                <w:szCs w:val="18"/>
                <w:highlight w:val="none"/>
                <w:lang w:eastAsia="zh-CN"/>
              </w:rPr>
              <w:t>类</w:t>
            </w:r>
            <w:r>
              <w:rPr>
                <w:rFonts w:hint="eastAsia" w:ascii="仿宋" w:hAnsi="仿宋" w:eastAsia="仿宋" w:cs="仿宋"/>
                <w:color w:val="000000"/>
                <w:sz w:val="18"/>
                <w:szCs w:val="18"/>
                <w:highlight w:val="none"/>
              </w:rPr>
              <w:t>技术管理不符合要求单位数</w:t>
            </w: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限制</w:t>
            </w:r>
            <w:r>
              <w:rPr>
                <w:rFonts w:hint="eastAsia" w:ascii="仿宋" w:hAnsi="仿宋" w:eastAsia="仿宋" w:cs="仿宋"/>
                <w:color w:val="000000"/>
                <w:sz w:val="18"/>
                <w:szCs w:val="18"/>
                <w:highlight w:val="none"/>
                <w:lang w:eastAsia="zh-CN"/>
              </w:rPr>
              <w:t>类</w:t>
            </w:r>
            <w:r>
              <w:rPr>
                <w:rFonts w:hint="eastAsia" w:ascii="仿宋" w:hAnsi="仿宋" w:eastAsia="仿宋" w:cs="仿宋"/>
                <w:color w:val="000000"/>
                <w:sz w:val="18"/>
                <w:szCs w:val="18"/>
                <w:highlight w:val="none"/>
              </w:rPr>
              <w:t>技术管理不符合要求单位数</w:t>
            </w: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医疗美容管理不符合要求单位数</w:t>
            </w: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临床基因扩增管理不符合要求单位数</w:t>
            </w: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生物医学研究管理不符合要求单位数</w:t>
            </w: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处方管理不符合要求单位数</w:t>
            </w: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病历管理不符合要求单位数</w:t>
            </w: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医学证明文件管理不符合要求单位数</w:t>
            </w: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抽查重点病</w:t>
            </w:r>
            <w:r>
              <w:rPr>
                <w:rFonts w:hint="eastAsia" w:ascii="仿宋" w:hAnsi="仿宋" w:eastAsia="仿宋" w:cs="仿宋"/>
                <w:color w:val="000000"/>
                <w:sz w:val="18"/>
                <w:szCs w:val="18"/>
                <w:highlight w:val="none"/>
                <w:lang w:eastAsia="zh-CN"/>
              </w:rPr>
              <w:t>历</w:t>
            </w:r>
            <w:r>
              <w:rPr>
                <w:rFonts w:hint="eastAsia" w:ascii="仿宋" w:hAnsi="仿宋" w:eastAsia="仿宋" w:cs="仿宋"/>
                <w:color w:val="000000"/>
                <w:sz w:val="18"/>
                <w:szCs w:val="18"/>
                <w:highlight w:val="none"/>
              </w:rPr>
              <w:t>不合格单位数</w:t>
            </w: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公立医疗机构开设营利性药店单位数</w:t>
            </w: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公立医疗机构加价销售医用耗材单位数</w:t>
            </w: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公立医疗机构薪酬与业务收入挂钩单位数</w:t>
            </w: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殡葬涉医领域管理不符合单位数</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患者就医信息数据等医疗数据管理不符合情况单位数</w:t>
            </w: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互联网诊疗管理不符合单位数</w:t>
            </w: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医保涉医领域管理不符合单位数</w:t>
            </w: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查处案件数</w:t>
            </w: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罚没款金额（万元）</w:t>
            </w: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吊销《医疗机构执业许可证》单位数</w:t>
            </w: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医院(含妇幼保健院、精神卫生院)</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社区卫生服务</w:t>
            </w:r>
            <w:r>
              <w:rPr>
                <w:rFonts w:hint="eastAsia" w:ascii="仿宋" w:hAnsi="仿宋" w:eastAsia="仿宋" w:cs="仿宋"/>
                <w:color w:val="000000"/>
                <w:sz w:val="18"/>
                <w:szCs w:val="18"/>
                <w:highlight w:val="none"/>
                <w:lang w:eastAsia="zh-CN"/>
              </w:rPr>
              <w:t>中心</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社区卫生服务</w:t>
            </w:r>
            <w:r>
              <w:rPr>
                <w:rFonts w:hint="eastAsia" w:ascii="仿宋" w:hAnsi="仿宋" w:eastAsia="仿宋" w:cs="仿宋"/>
                <w:color w:val="000000"/>
                <w:sz w:val="18"/>
                <w:szCs w:val="18"/>
                <w:highlight w:val="none"/>
                <w:lang w:eastAsia="zh-CN"/>
              </w:rPr>
              <w:t>站</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卫生院</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村卫生室（所）</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诊  所</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其他医疗机构</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合计</w:t>
            </w:r>
          </w:p>
        </w:tc>
        <w:tc>
          <w:tcPr>
            <w:tcW w:w="44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3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74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5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8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6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44"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29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7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09"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38"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1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86"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val="0"/>
          <w:bCs w:val="0"/>
          <w:color w:val="000000"/>
          <w:spacing w:val="16"/>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spacing w:val="16"/>
          <w:sz w:val="32"/>
          <w:szCs w:val="32"/>
          <w:highlight w:val="none"/>
          <w:lang w:val="en-US" w:eastAsia="zh-CN"/>
        </w:rPr>
      </w:pPr>
      <w:r>
        <w:rPr>
          <w:rFonts w:ascii="黑体" w:hAnsi="黑体" w:eastAsia="黑体" w:cs="黑体"/>
          <w:b w:val="0"/>
          <w:bCs w:val="0"/>
          <w:color w:val="000000"/>
          <w:spacing w:val="16"/>
          <w:sz w:val="32"/>
          <w:szCs w:val="32"/>
          <w:highlight w:val="none"/>
        </w:rPr>
        <w:t>附表</w:t>
      </w:r>
      <w:r>
        <w:rPr>
          <w:rFonts w:hint="eastAsia" w:ascii="黑体" w:hAnsi="黑体" w:eastAsia="黑体" w:cs="黑体"/>
          <w:b w:val="0"/>
          <w:bCs w:val="0"/>
          <w:color w:val="000000"/>
          <w:spacing w:val="16"/>
          <w:sz w:val="32"/>
          <w:szCs w:val="32"/>
          <w:highlight w:val="none"/>
          <w:lang w:val="en-US" w:eastAsia="zh-CN"/>
        </w:rPr>
        <w:t>3</w:t>
      </w:r>
    </w:p>
    <w:p>
      <w:pPr>
        <w:pStyle w:val="4"/>
        <w:spacing w:before="170" w:line="219" w:lineRule="auto"/>
        <w:ind w:left="1891"/>
        <w:rPr>
          <w:rFonts w:hint="eastAsia" w:ascii="方正小标宋简体" w:hAnsi="方正小标宋简体" w:eastAsia="方正小标宋简体" w:cs="方正小标宋简体"/>
          <w:color w:val="000000"/>
          <w:spacing w:val="1"/>
          <w:kern w:val="0"/>
          <w:sz w:val="44"/>
          <w:szCs w:val="44"/>
          <w:highlight w:val="none"/>
          <w:lang w:val="en-US" w:eastAsia="zh-CN" w:bidi="zh-CN"/>
        </w:rPr>
      </w:pPr>
      <w:r>
        <w:rPr>
          <w:rFonts w:hint="eastAsia" w:ascii="方正小标宋简体" w:hAnsi="方正小标宋简体" w:eastAsia="方正小标宋简体" w:cs="方正小标宋简体"/>
          <w:color w:val="000000"/>
          <w:spacing w:val="1"/>
          <w:kern w:val="0"/>
          <w:sz w:val="44"/>
          <w:szCs w:val="44"/>
          <w:highlight w:val="none"/>
          <w:lang w:val="en-US" w:eastAsia="zh-CN" w:bidi="zh-CN"/>
        </w:rPr>
        <w:t>2025年中医医疗机构国家随机监督抽查工作计划表</w:t>
      </w:r>
    </w:p>
    <w:p>
      <w:pPr>
        <w:spacing w:line="153" w:lineRule="exact"/>
        <w:rPr>
          <w:color w:val="000000"/>
          <w:highlight w:val="none"/>
        </w:rPr>
      </w:pPr>
    </w:p>
    <w:tbl>
      <w:tblPr>
        <w:tblStyle w:val="26"/>
        <w:tblW w:w="14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29"/>
        <w:gridCol w:w="879"/>
        <w:gridCol w:w="9434"/>
        <w:gridCol w:w="2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565" w:type="dxa"/>
            <w:noWrap w:val="0"/>
            <w:textDirection w:val="tbRlV"/>
            <w:vAlign w:val="top"/>
          </w:tcPr>
          <w:p>
            <w:pPr>
              <w:pStyle w:val="25"/>
              <w:keepNext w:val="0"/>
              <w:keepLines w:val="0"/>
              <w:pageBreakBefore w:val="0"/>
              <w:widowControl w:val="0"/>
              <w:kinsoku/>
              <w:wordWrap/>
              <w:overflowPunct/>
              <w:topLinePunct w:val="0"/>
              <w:autoSpaceDE/>
              <w:autoSpaceDN/>
              <w:bidi w:val="0"/>
              <w:adjustRightInd/>
              <w:snapToGrid/>
              <w:spacing w:before="183" w:line="280" w:lineRule="exact"/>
              <w:ind w:left="51"/>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序</w:t>
            </w:r>
            <w:r>
              <w:rPr>
                <w:rFonts w:hint="eastAsia" w:ascii="仿宋" w:hAnsi="仿宋" w:eastAsia="仿宋" w:cs="仿宋"/>
                <w:color w:val="000000"/>
                <w:spacing w:val="107"/>
                <w:sz w:val="22"/>
                <w:szCs w:val="22"/>
                <w:highlight w:val="none"/>
              </w:rPr>
              <w:t xml:space="preserve"> </w:t>
            </w:r>
            <w:r>
              <w:rPr>
                <w:rFonts w:hint="eastAsia" w:ascii="仿宋" w:hAnsi="仿宋" w:eastAsia="仿宋" w:cs="仿宋"/>
                <w:color w:val="000000"/>
                <w:sz w:val="22"/>
                <w:szCs w:val="22"/>
                <w:highlight w:val="none"/>
              </w:rPr>
              <w:t>号</w:t>
            </w:r>
          </w:p>
        </w:tc>
        <w:tc>
          <w:tcPr>
            <w:tcW w:w="1029" w:type="dxa"/>
            <w:noWrap w:val="0"/>
            <w:vAlign w:val="top"/>
          </w:tcPr>
          <w:p>
            <w:pPr>
              <w:pStyle w:val="25"/>
              <w:keepNext w:val="0"/>
              <w:keepLines w:val="0"/>
              <w:pageBreakBefore w:val="0"/>
              <w:widowControl w:val="0"/>
              <w:kinsoku/>
              <w:wordWrap/>
              <w:overflowPunct/>
              <w:topLinePunct w:val="0"/>
              <w:autoSpaceDE/>
              <w:autoSpaceDN/>
              <w:bidi w:val="0"/>
              <w:adjustRightInd/>
              <w:snapToGrid/>
              <w:spacing w:before="124" w:line="280" w:lineRule="exact"/>
              <w:ind w:left="169"/>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3"/>
                <w:sz w:val="22"/>
                <w:szCs w:val="22"/>
                <w:highlight w:val="none"/>
              </w:rPr>
              <w:t>监督检</w:t>
            </w:r>
          </w:p>
          <w:p>
            <w:pPr>
              <w:pStyle w:val="25"/>
              <w:keepNext w:val="0"/>
              <w:keepLines w:val="0"/>
              <w:pageBreakBefore w:val="0"/>
              <w:widowControl w:val="0"/>
              <w:kinsoku/>
              <w:wordWrap/>
              <w:overflowPunct/>
              <w:topLinePunct w:val="0"/>
              <w:autoSpaceDE/>
              <w:autoSpaceDN/>
              <w:bidi w:val="0"/>
              <w:adjustRightInd/>
              <w:snapToGrid/>
              <w:spacing w:before="138" w:line="280" w:lineRule="exact"/>
              <w:ind w:left="169"/>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3"/>
                <w:sz w:val="22"/>
                <w:szCs w:val="22"/>
                <w:highlight w:val="none"/>
              </w:rPr>
              <w:t>查对象</w:t>
            </w:r>
          </w:p>
        </w:tc>
        <w:tc>
          <w:tcPr>
            <w:tcW w:w="879" w:type="dxa"/>
            <w:noWrap w:val="0"/>
            <w:vAlign w:val="top"/>
          </w:tcPr>
          <w:p>
            <w:pPr>
              <w:pStyle w:val="25"/>
              <w:keepNext w:val="0"/>
              <w:keepLines w:val="0"/>
              <w:pageBreakBefore w:val="0"/>
              <w:widowControl w:val="0"/>
              <w:kinsoku/>
              <w:wordWrap/>
              <w:overflowPunct/>
              <w:topLinePunct w:val="0"/>
              <w:autoSpaceDE/>
              <w:autoSpaceDN/>
              <w:bidi w:val="0"/>
              <w:adjustRightInd/>
              <w:snapToGrid/>
              <w:spacing w:before="132" w:line="280" w:lineRule="exact"/>
              <w:ind w:left="210" w:right="199"/>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4"/>
                <w:sz w:val="22"/>
                <w:szCs w:val="22"/>
                <w:highlight w:val="none"/>
              </w:rPr>
              <w:t>抽检</w:t>
            </w:r>
            <w:r>
              <w:rPr>
                <w:rFonts w:hint="eastAsia" w:ascii="仿宋" w:hAnsi="仿宋" w:eastAsia="仿宋" w:cs="仿宋"/>
                <w:color w:val="000000"/>
                <w:sz w:val="22"/>
                <w:szCs w:val="22"/>
                <w:highlight w:val="none"/>
              </w:rPr>
              <w:t xml:space="preserve"> </w:t>
            </w:r>
            <w:r>
              <w:rPr>
                <w:rFonts w:hint="eastAsia" w:ascii="仿宋" w:hAnsi="仿宋" w:eastAsia="仿宋" w:cs="仿宋"/>
                <w:color w:val="000000"/>
                <w:sz w:val="22"/>
                <w:szCs w:val="22"/>
                <w:highlight w:val="none"/>
                <w:lang w:eastAsia="zh-CN"/>
              </w:rPr>
              <w:t>比</w:t>
            </w:r>
            <w:r>
              <w:rPr>
                <w:rFonts w:hint="eastAsia" w:ascii="仿宋" w:hAnsi="仿宋" w:eastAsia="仿宋" w:cs="仿宋"/>
                <w:color w:val="000000"/>
                <w:spacing w:val="9"/>
                <w:sz w:val="22"/>
                <w:szCs w:val="22"/>
                <w:highlight w:val="none"/>
              </w:rPr>
              <w:t>例</w:t>
            </w:r>
          </w:p>
        </w:tc>
        <w:tc>
          <w:tcPr>
            <w:tcW w:w="9434" w:type="dxa"/>
            <w:noWrap w:val="0"/>
            <w:vAlign w:val="top"/>
          </w:tcPr>
          <w:p>
            <w:pPr>
              <w:pStyle w:val="25"/>
              <w:keepNext w:val="0"/>
              <w:keepLines w:val="0"/>
              <w:pageBreakBefore w:val="0"/>
              <w:widowControl w:val="0"/>
              <w:kinsoku/>
              <w:wordWrap/>
              <w:overflowPunct/>
              <w:topLinePunct w:val="0"/>
              <w:autoSpaceDE/>
              <w:autoSpaceDN/>
              <w:bidi w:val="0"/>
              <w:adjustRightInd/>
              <w:snapToGrid/>
              <w:spacing w:before="284" w:line="280" w:lineRule="exact"/>
              <w:ind w:left="4292"/>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2"/>
                <w:sz w:val="22"/>
                <w:szCs w:val="22"/>
                <w:highlight w:val="none"/>
              </w:rPr>
              <w:t>检查内容</w:t>
            </w:r>
          </w:p>
        </w:tc>
        <w:tc>
          <w:tcPr>
            <w:tcW w:w="2183" w:type="dxa"/>
            <w:noWrap w:val="0"/>
            <w:vAlign w:val="top"/>
          </w:tcPr>
          <w:p>
            <w:pPr>
              <w:pStyle w:val="25"/>
              <w:spacing w:before="285" w:line="221" w:lineRule="auto"/>
              <w:ind w:left="868"/>
              <w:rPr>
                <w:rFonts w:hint="eastAsia" w:ascii="仿宋" w:hAnsi="仿宋" w:eastAsia="仿宋" w:cs="仿宋"/>
                <w:color w:val="000000"/>
                <w:sz w:val="22"/>
                <w:szCs w:val="22"/>
                <w:highlight w:val="none"/>
              </w:rPr>
            </w:pPr>
            <w:r>
              <w:rPr>
                <w:rFonts w:hint="eastAsia" w:ascii="仿宋" w:hAnsi="仿宋" w:eastAsia="仿宋" w:cs="仿宋"/>
                <w:color w:val="000000"/>
                <w:spacing w:val="5"/>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jc w:val="center"/>
        </w:trPr>
        <w:tc>
          <w:tcPr>
            <w:tcW w:w="565" w:type="dxa"/>
            <w:noWrap w:val="0"/>
            <w:vAlign w:val="center"/>
          </w:tcPr>
          <w:p>
            <w:pPr>
              <w:pStyle w:val="25"/>
              <w:spacing w:before="71" w:line="241" w:lineRule="auto"/>
              <w:ind w:firstLine="220" w:firstLineChars="100"/>
              <w:jc w:val="both"/>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w:t>
            </w:r>
          </w:p>
        </w:tc>
        <w:tc>
          <w:tcPr>
            <w:tcW w:w="1029" w:type="dxa"/>
            <w:noWrap w:val="0"/>
            <w:vAlign w:val="center"/>
          </w:tcPr>
          <w:p>
            <w:pPr>
              <w:pStyle w:val="25"/>
              <w:keepNext w:val="0"/>
              <w:keepLines w:val="0"/>
              <w:pageBreakBefore w:val="0"/>
              <w:widowControl w:val="0"/>
              <w:kinsoku/>
              <w:wordWrap/>
              <w:overflowPunct/>
              <w:topLinePunct w:val="0"/>
              <w:autoSpaceDE/>
              <w:autoSpaceDN/>
              <w:bidi w:val="0"/>
              <w:adjustRightInd/>
              <w:snapToGrid/>
              <w:spacing w:before="130" w:line="280" w:lineRule="exact"/>
              <w:ind w:left="100"/>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中医</w:t>
            </w:r>
            <w:r>
              <w:rPr>
                <w:rFonts w:hint="eastAsia" w:ascii="仿宋" w:hAnsi="仿宋" w:eastAsia="仿宋" w:cs="仿宋"/>
                <w:color w:val="000000"/>
                <w:spacing w:val="2"/>
                <w:sz w:val="22"/>
                <w:szCs w:val="22"/>
                <w:highlight w:val="none"/>
              </w:rPr>
              <w:t>医院(含</w:t>
            </w:r>
            <w:r>
              <w:rPr>
                <w:rFonts w:hint="eastAsia" w:ascii="仿宋" w:hAnsi="仿宋" w:eastAsia="仿宋" w:cs="仿宋"/>
                <w:color w:val="000000"/>
                <w:spacing w:val="4"/>
                <w:sz w:val="22"/>
                <w:szCs w:val="22"/>
                <w:highlight w:val="none"/>
              </w:rPr>
              <w:t>中西医</w:t>
            </w:r>
            <w:r>
              <w:rPr>
                <w:rFonts w:hint="eastAsia" w:ascii="仿宋" w:hAnsi="仿宋" w:eastAsia="仿宋" w:cs="仿宋"/>
                <w:color w:val="000000"/>
                <w:spacing w:val="3"/>
                <w:sz w:val="22"/>
                <w:szCs w:val="22"/>
                <w:highlight w:val="none"/>
              </w:rPr>
              <w:t>结合</w:t>
            </w:r>
            <w:r>
              <w:rPr>
                <w:rFonts w:hint="eastAsia" w:ascii="仿宋" w:hAnsi="仿宋" w:eastAsia="仿宋" w:cs="仿宋"/>
                <w:color w:val="000000"/>
                <w:spacing w:val="3"/>
                <w:sz w:val="22"/>
                <w:szCs w:val="22"/>
                <w:highlight w:val="none"/>
                <w:lang w:eastAsia="zh-CN"/>
              </w:rPr>
              <w:t>、</w:t>
            </w:r>
            <w:r>
              <w:rPr>
                <w:rFonts w:hint="eastAsia" w:ascii="仿宋" w:hAnsi="仿宋" w:eastAsia="仿宋" w:cs="仿宋"/>
                <w:color w:val="000000"/>
                <w:spacing w:val="3"/>
                <w:sz w:val="22"/>
                <w:szCs w:val="22"/>
                <w:highlight w:val="none"/>
              </w:rPr>
              <w:t>民</w:t>
            </w:r>
            <w:r>
              <w:rPr>
                <w:rFonts w:hint="eastAsia" w:ascii="仿宋" w:hAnsi="仿宋" w:eastAsia="仿宋" w:cs="仿宋"/>
                <w:color w:val="000000"/>
                <w:spacing w:val="4"/>
                <w:sz w:val="22"/>
                <w:szCs w:val="22"/>
                <w:highlight w:val="none"/>
              </w:rPr>
              <w:t>族医医</w:t>
            </w:r>
          </w:p>
          <w:p>
            <w:pPr>
              <w:pStyle w:val="25"/>
              <w:keepNext w:val="0"/>
              <w:keepLines w:val="0"/>
              <w:pageBreakBefore w:val="0"/>
              <w:widowControl w:val="0"/>
              <w:kinsoku/>
              <w:wordWrap/>
              <w:overflowPunct/>
              <w:topLinePunct w:val="0"/>
              <w:autoSpaceDE/>
              <w:autoSpaceDN/>
              <w:bidi w:val="0"/>
              <w:adjustRightInd/>
              <w:snapToGrid/>
              <w:spacing w:before="2" w:line="280" w:lineRule="exact"/>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12"/>
                <w:sz w:val="22"/>
                <w:szCs w:val="22"/>
                <w:highlight w:val="none"/>
              </w:rPr>
              <w:t>院</w:t>
            </w:r>
            <w:r>
              <w:rPr>
                <w:rFonts w:hint="eastAsia" w:ascii="仿宋" w:hAnsi="仿宋" w:eastAsia="仿宋" w:cs="仿宋"/>
                <w:color w:val="000000"/>
                <w:spacing w:val="-30"/>
                <w:sz w:val="22"/>
                <w:szCs w:val="22"/>
                <w:highlight w:val="none"/>
              </w:rPr>
              <w:t xml:space="preserve"> </w:t>
            </w:r>
            <w:r>
              <w:rPr>
                <w:rFonts w:hint="eastAsia" w:ascii="仿宋" w:hAnsi="仿宋" w:eastAsia="仿宋" w:cs="仿宋"/>
                <w:color w:val="000000"/>
                <w:spacing w:val="-12"/>
                <w:sz w:val="22"/>
                <w:szCs w:val="22"/>
                <w:highlight w:val="none"/>
              </w:rPr>
              <w:t>)</w:t>
            </w:r>
          </w:p>
        </w:tc>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highlight w:val="none"/>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highlight w:val="none"/>
              </w:rPr>
            </w:pPr>
          </w:p>
          <w:p>
            <w:pPr>
              <w:pStyle w:val="25"/>
              <w:keepNext w:val="0"/>
              <w:keepLines w:val="0"/>
              <w:pageBreakBefore w:val="0"/>
              <w:widowControl w:val="0"/>
              <w:kinsoku/>
              <w:wordWrap/>
              <w:overflowPunct/>
              <w:topLinePunct w:val="0"/>
              <w:autoSpaceDE/>
              <w:autoSpaceDN/>
              <w:bidi w:val="0"/>
              <w:adjustRightInd/>
              <w:snapToGrid/>
              <w:spacing w:before="72" w:line="280" w:lineRule="exact"/>
              <w:ind w:left="260"/>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10%</w:t>
            </w:r>
          </w:p>
        </w:tc>
        <w:tc>
          <w:tcPr>
            <w:tcW w:w="9434" w:type="dxa"/>
            <w:vMerge w:val="restart"/>
            <w:tcBorders>
              <w:bottom w:val="nil"/>
            </w:tcBorders>
            <w:noWrap w:val="0"/>
            <w:vAlign w:val="top"/>
          </w:tcPr>
          <w:p>
            <w:pPr>
              <w:pStyle w:val="25"/>
              <w:keepNext w:val="0"/>
              <w:keepLines w:val="0"/>
              <w:pageBreakBefore w:val="0"/>
              <w:widowControl w:val="0"/>
              <w:kinsoku/>
              <w:wordWrap/>
              <w:overflowPunct/>
              <w:topLinePunct w:val="0"/>
              <w:autoSpaceDE/>
              <w:autoSpaceDN/>
              <w:bidi w:val="0"/>
              <w:adjustRightInd/>
              <w:snapToGrid/>
              <w:spacing w:before="30" w:line="280" w:lineRule="exact"/>
              <w:ind w:left="121"/>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3"/>
                <w:sz w:val="22"/>
                <w:szCs w:val="22"/>
                <w:highlight w:val="none"/>
              </w:rPr>
              <w:t>1.医疗机构资质(执业许可、校验或执业备案</w:t>
            </w:r>
            <w:r>
              <w:rPr>
                <w:rFonts w:hint="eastAsia" w:ascii="仿宋" w:hAnsi="仿宋" w:eastAsia="仿宋" w:cs="仿宋"/>
                <w:color w:val="000000"/>
                <w:spacing w:val="-4"/>
                <w:sz w:val="22"/>
                <w:szCs w:val="22"/>
                <w:highlight w:val="none"/>
              </w:rPr>
              <w:t>、开展诊疗活动与执业许可或诊所备案范围符合情况)</w:t>
            </w:r>
            <w:r>
              <w:rPr>
                <w:rFonts w:hint="eastAsia" w:ascii="仿宋" w:hAnsi="仿宋" w:eastAsia="仿宋" w:cs="仿宋"/>
                <w:color w:val="000000"/>
                <w:spacing w:val="-1"/>
                <w:sz w:val="22"/>
                <w:szCs w:val="22"/>
                <w:highlight w:val="none"/>
              </w:rPr>
              <w:t>管理情况。</w:t>
            </w:r>
          </w:p>
          <w:p>
            <w:pPr>
              <w:pStyle w:val="25"/>
              <w:keepNext w:val="0"/>
              <w:keepLines w:val="0"/>
              <w:pageBreakBefore w:val="0"/>
              <w:widowControl w:val="0"/>
              <w:kinsoku/>
              <w:wordWrap/>
              <w:overflowPunct/>
              <w:topLinePunct w:val="0"/>
              <w:autoSpaceDE/>
              <w:autoSpaceDN/>
              <w:bidi w:val="0"/>
              <w:adjustRightInd/>
              <w:snapToGrid/>
              <w:spacing w:before="7" w:line="280" w:lineRule="exact"/>
              <w:ind w:left="120" w:hanging="29"/>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5"/>
                <w:sz w:val="22"/>
                <w:szCs w:val="22"/>
                <w:highlight w:val="none"/>
              </w:rPr>
              <w:t>2.医疗卫生人员(医师(含中医专长医师)、护士、其他医技人员执业资格、执业</w:t>
            </w:r>
            <w:r>
              <w:rPr>
                <w:rFonts w:hint="eastAsia" w:ascii="仿宋" w:hAnsi="仿宋" w:eastAsia="仿宋" w:cs="仿宋"/>
                <w:color w:val="000000"/>
                <w:spacing w:val="-6"/>
                <w:sz w:val="22"/>
                <w:szCs w:val="22"/>
                <w:highlight w:val="none"/>
              </w:rPr>
              <w:t>行为，医师、护士执</w:t>
            </w:r>
            <w:r>
              <w:rPr>
                <w:rFonts w:hint="eastAsia" w:ascii="仿宋" w:hAnsi="仿宋" w:eastAsia="仿宋" w:cs="仿宋"/>
                <w:color w:val="000000"/>
                <w:spacing w:val="-1"/>
                <w:sz w:val="22"/>
                <w:szCs w:val="22"/>
                <w:highlight w:val="none"/>
              </w:rPr>
              <w:t>业注册)管理情况。</w:t>
            </w:r>
          </w:p>
          <w:p>
            <w:pPr>
              <w:pStyle w:val="25"/>
              <w:keepNext w:val="0"/>
              <w:keepLines w:val="0"/>
              <w:pageBreakBefore w:val="0"/>
              <w:widowControl w:val="0"/>
              <w:kinsoku/>
              <w:wordWrap/>
              <w:overflowPunct/>
              <w:topLinePunct w:val="0"/>
              <w:autoSpaceDE/>
              <w:autoSpaceDN/>
              <w:bidi w:val="0"/>
              <w:adjustRightInd/>
              <w:snapToGrid/>
              <w:spacing w:before="7" w:line="280" w:lineRule="exact"/>
              <w:ind w:left="121"/>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3.专科制定中医优势病种中医诊疗方案及实施情况。</w:t>
            </w:r>
          </w:p>
          <w:p>
            <w:pPr>
              <w:pStyle w:val="25"/>
              <w:keepNext w:val="0"/>
              <w:keepLines w:val="0"/>
              <w:pageBreakBefore w:val="0"/>
              <w:widowControl w:val="0"/>
              <w:kinsoku/>
              <w:wordWrap/>
              <w:overflowPunct/>
              <w:topLinePunct w:val="0"/>
              <w:autoSpaceDE/>
              <w:autoSpaceDN/>
              <w:bidi w:val="0"/>
              <w:adjustRightInd/>
              <w:snapToGrid/>
              <w:spacing w:before="20" w:line="280" w:lineRule="exact"/>
              <w:ind w:left="121"/>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4.中医医疗技术开展情况(包括开展的中医医疗技术类别及项目数等)。</w:t>
            </w:r>
          </w:p>
          <w:p>
            <w:pPr>
              <w:pStyle w:val="25"/>
              <w:keepNext w:val="0"/>
              <w:keepLines w:val="0"/>
              <w:pageBreakBefore w:val="0"/>
              <w:widowControl w:val="0"/>
              <w:kinsoku/>
              <w:wordWrap/>
              <w:overflowPunct/>
              <w:topLinePunct w:val="0"/>
              <w:autoSpaceDE/>
              <w:autoSpaceDN/>
              <w:bidi w:val="0"/>
              <w:adjustRightInd/>
              <w:snapToGrid/>
              <w:spacing w:before="8" w:line="280" w:lineRule="exact"/>
              <w:ind w:left="121"/>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5.医疗用毒性药品、麻醉药品、精神药品、抗菌药物和医疗器械管理情况。</w:t>
            </w:r>
          </w:p>
          <w:p>
            <w:pPr>
              <w:pStyle w:val="25"/>
              <w:keepNext w:val="0"/>
              <w:keepLines w:val="0"/>
              <w:pageBreakBefore w:val="0"/>
              <w:widowControl w:val="0"/>
              <w:kinsoku/>
              <w:wordWrap/>
              <w:overflowPunct/>
              <w:topLinePunct w:val="0"/>
              <w:autoSpaceDE/>
              <w:autoSpaceDN/>
              <w:bidi w:val="0"/>
              <w:adjustRightInd/>
              <w:snapToGrid/>
              <w:spacing w:before="2" w:line="280" w:lineRule="exact"/>
              <w:ind w:left="121" w:hanging="39"/>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5"/>
                <w:sz w:val="22"/>
                <w:szCs w:val="22"/>
                <w:highlight w:val="none"/>
              </w:rPr>
              <w:t>6.中药饮片管理(采购、验收、保管、调剂、临方炮制、煎煮等环节的管理情况；中药饮</w:t>
            </w:r>
            <w:r>
              <w:rPr>
                <w:rFonts w:hint="eastAsia" w:ascii="仿宋" w:hAnsi="仿宋" w:eastAsia="仿宋" w:cs="仿宋"/>
                <w:color w:val="000000"/>
                <w:spacing w:val="-6"/>
                <w:sz w:val="22"/>
                <w:szCs w:val="22"/>
                <w:highlight w:val="none"/>
              </w:rPr>
              <w:t>片处方点评</w:t>
            </w:r>
            <w:r>
              <w:rPr>
                <w:rFonts w:hint="eastAsia" w:ascii="仿宋" w:hAnsi="仿宋" w:eastAsia="仿宋" w:cs="仿宋"/>
                <w:color w:val="000000"/>
                <w:sz w:val="22"/>
                <w:szCs w:val="22"/>
                <w:highlight w:val="none"/>
              </w:rPr>
              <w:t>情况；膏方的处方开具、制备管理、临床使用</w:t>
            </w:r>
            <w:r>
              <w:rPr>
                <w:rFonts w:hint="eastAsia" w:ascii="仿宋" w:hAnsi="仿宋" w:eastAsia="仿宋" w:cs="仿宋"/>
                <w:color w:val="000000"/>
                <w:spacing w:val="-1"/>
                <w:sz w:val="22"/>
                <w:szCs w:val="22"/>
                <w:highlight w:val="none"/>
              </w:rPr>
              <w:t>等情况)。</w:t>
            </w:r>
          </w:p>
          <w:p>
            <w:pPr>
              <w:pStyle w:val="25"/>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8"/>
                <w:sz w:val="22"/>
                <w:szCs w:val="22"/>
                <w:highlight w:val="none"/>
              </w:rPr>
              <w:t>7.现代诊疗技术临床应用管理情况(限制类技术备案及数据信息报送情况、是</w:t>
            </w:r>
            <w:r>
              <w:rPr>
                <w:rFonts w:hint="eastAsia" w:ascii="仿宋" w:hAnsi="仿宋" w:eastAsia="仿宋" w:cs="仿宋"/>
                <w:color w:val="000000"/>
                <w:spacing w:val="-9"/>
                <w:sz w:val="22"/>
                <w:szCs w:val="22"/>
                <w:highlight w:val="none"/>
              </w:rPr>
              <w:t>否开展禁止类技术等)。</w:t>
            </w:r>
          </w:p>
          <w:p>
            <w:pPr>
              <w:pStyle w:val="25"/>
              <w:keepNext w:val="0"/>
              <w:keepLines w:val="0"/>
              <w:pageBreakBefore w:val="0"/>
              <w:widowControl w:val="0"/>
              <w:kinsoku/>
              <w:wordWrap/>
              <w:overflowPunct/>
              <w:topLinePunct w:val="0"/>
              <w:autoSpaceDE/>
              <w:autoSpaceDN/>
              <w:bidi w:val="0"/>
              <w:adjustRightInd/>
              <w:snapToGrid/>
              <w:spacing w:before="39" w:line="28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8.医疗文书(处方、病历、医学证明文件等)管理情况。</w:t>
            </w:r>
          </w:p>
          <w:p>
            <w:pPr>
              <w:pStyle w:val="25"/>
              <w:keepNext w:val="0"/>
              <w:keepLines w:val="0"/>
              <w:pageBreakBefore w:val="0"/>
              <w:widowControl w:val="0"/>
              <w:kinsoku/>
              <w:wordWrap/>
              <w:overflowPunct/>
              <w:topLinePunct w:val="0"/>
              <w:autoSpaceDE/>
              <w:autoSpaceDN/>
              <w:bidi w:val="0"/>
              <w:adjustRightInd/>
              <w:snapToGrid/>
              <w:spacing w:line="280" w:lineRule="exact"/>
              <w:ind w:left="120" w:hanging="29"/>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5"/>
                <w:sz w:val="22"/>
                <w:szCs w:val="22"/>
                <w:highlight w:val="none"/>
              </w:rPr>
              <w:t>9.抽查重点病历情况(伪造病历或医学文书、虚构诊疗服务、无资质</w:t>
            </w:r>
            <w:r>
              <w:rPr>
                <w:rFonts w:hint="eastAsia" w:ascii="仿宋" w:hAnsi="仿宋" w:eastAsia="仿宋" w:cs="仿宋"/>
                <w:color w:val="000000"/>
                <w:spacing w:val="-6"/>
                <w:sz w:val="22"/>
                <w:szCs w:val="22"/>
                <w:highlight w:val="none"/>
              </w:rPr>
              <w:t>或超范围开展诊疗服务、冒用医</w:t>
            </w:r>
            <w:r>
              <w:rPr>
                <w:rFonts w:hint="eastAsia" w:ascii="仿宋" w:hAnsi="仿宋" w:eastAsia="仿宋" w:cs="仿宋"/>
                <w:color w:val="000000"/>
                <w:spacing w:val="-1"/>
                <w:sz w:val="22"/>
                <w:szCs w:val="22"/>
                <w:highlight w:val="none"/>
              </w:rPr>
              <w:t>师签名等欺诈骗保涉医行为)。</w:t>
            </w:r>
          </w:p>
          <w:p>
            <w:pPr>
              <w:pStyle w:val="25"/>
              <w:keepNext w:val="0"/>
              <w:keepLines w:val="0"/>
              <w:pageBreakBefore w:val="0"/>
              <w:widowControl w:val="0"/>
              <w:kinsoku/>
              <w:wordWrap/>
              <w:overflowPunct/>
              <w:topLinePunct w:val="0"/>
              <w:autoSpaceDE/>
              <w:autoSpaceDN/>
              <w:bidi w:val="0"/>
              <w:adjustRightInd/>
              <w:snapToGrid/>
              <w:spacing w:before="1" w:line="28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8"/>
                <w:sz w:val="22"/>
                <w:szCs w:val="22"/>
                <w:highlight w:val="none"/>
              </w:rPr>
              <w:t>10.抽查中医医疗广告发布情况(未经批准发布中医医疗广告、发布的中医医疗广告与审查文件的不相</w:t>
            </w:r>
            <w:r>
              <w:rPr>
                <w:rFonts w:hint="eastAsia" w:ascii="仿宋" w:hAnsi="仿宋" w:eastAsia="仿宋" w:cs="仿宋"/>
                <w:color w:val="000000"/>
                <w:spacing w:val="-1"/>
                <w:sz w:val="22"/>
                <w:szCs w:val="22"/>
                <w:highlight w:val="none"/>
              </w:rPr>
              <w:t>符合、虚假夸大宣传等)。</w:t>
            </w:r>
          </w:p>
          <w:p>
            <w:pPr>
              <w:pStyle w:val="25"/>
              <w:keepNext w:val="0"/>
              <w:keepLines w:val="0"/>
              <w:pageBreakBefore w:val="0"/>
              <w:widowControl w:val="0"/>
              <w:kinsoku/>
              <w:wordWrap/>
              <w:overflowPunct/>
              <w:topLinePunct w:val="0"/>
              <w:autoSpaceDE/>
              <w:autoSpaceDN/>
              <w:bidi w:val="0"/>
              <w:adjustRightInd/>
              <w:snapToGrid/>
              <w:spacing w:before="1" w:line="28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11.生物医学研究(资质资格、登记备案、伦理审查等)管理情况。</w:t>
            </w:r>
          </w:p>
          <w:p>
            <w:pPr>
              <w:pStyle w:val="25"/>
              <w:keepNext w:val="0"/>
              <w:keepLines w:val="0"/>
              <w:pageBreakBefore w:val="0"/>
              <w:widowControl w:val="0"/>
              <w:kinsoku/>
              <w:wordWrap/>
              <w:overflowPunct/>
              <w:topLinePunct w:val="0"/>
              <w:autoSpaceDE/>
              <w:autoSpaceDN/>
              <w:bidi w:val="0"/>
              <w:adjustRightInd/>
              <w:snapToGrid/>
              <w:spacing w:before="29" w:line="28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8"/>
                <w:sz w:val="22"/>
                <w:szCs w:val="22"/>
                <w:highlight w:val="none"/>
              </w:rPr>
              <w:t>12.政策落实情况(公立医疗机构不得开设营利性药店，向出资人、举办者分配或者变相分配收益；公</w:t>
            </w:r>
            <w:r>
              <w:rPr>
                <w:rFonts w:hint="eastAsia" w:ascii="仿宋" w:hAnsi="仿宋" w:eastAsia="仿宋" w:cs="仿宋"/>
                <w:color w:val="000000"/>
                <w:spacing w:val="-13"/>
                <w:sz w:val="22"/>
                <w:szCs w:val="22"/>
                <w:highlight w:val="none"/>
              </w:rPr>
              <w:t>立医疗机构医用耗材“零差率”销售；公立医疗机构医务人</w:t>
            </w:r>
            <w:r>
              <w:rPr>
                <w:rFonts w:hint="eastAsia" w:ascii="仿宋" w:hAnsi="仿宋" w:eastAsia="仿宋" w:cs="仿宋"/>
                <w:color w:val="000000"/>
                <w:spacing w:val="-14"/>
                <w:sz w:val="22"/>
                <w:szCs w:val="22"/>
                <w:highlight w:val="none"/>
              </w:rPr>
              <w:t>员薪酬不得与药品、耗材、检查、化验等收</w:t>
            </w:r>
            <w:r>
              <w:rPr>
                <w:rFonts w:hint="eastAsia" w:ascii="仿宋" w:hAnsi="仿宋" w:eastAsia="仿宋" w:cs="仿宋"/>
                <w:color w:val="000000"/>
                <w:spacing w:val="-1"/>
                <w:sz w:val="22"/>
                <w:szCs w:val="22"/>
                <w:highlight w:val="none"/>
              </w:rPr>
              <w:t>入挂钩等)。</w:t>
            </w:r>
          </w:p>
          <w:p>
            <w:pPr>
              <w:pStyle w:val="25"/>
              <w:keepNext w:val="0"/>
              <w:keepLines w:val="0"/>
              <w:pageBreakBefore w:val="0"/>
              <w:widowControl w:val="0"/>
              <w:kinsoku/>
              <w:wordWrap/>
              <w:overflowPunct/>
              <w:topLinePunct w:val="0"/>
              <w:autoSpaceDE/>
              <w:autoSpaceDN/>
              <w:bidi w:val="0"/>
              <w:adjustRightInd/>
              <w:snapToGrid/>
              <w:spacing w:before="19" w:line="280" w:lineRule="exact"/>
              <w:textAlignment w:val="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13.殡葬涉医领域(死亡证明、亡故患者信息等)管理情</w:t>
            </w:r>
            <w:r>
              <w:rPr>
                <w:rFonts w:hint="eastAsia" w:ascii="仿宋" w:hAnsi="仿宋" w:eastAsia="仿宋" w:cs="仿宋"/>
                <w:color w:val="000000"/>
                <w:spacing w:val="-1"/>
                <w:sz w:val="22"/>
                <w:szCs w:val="22"/>
                <w:highlight w:val="none"/>
              </w:rPr>
              <w:t>况。</w:t>
            </w:r>
          </w:p>
          <w:p>
            <w:pPr>
              <w:pStyle w:val="25"/>
              <w:keepNext w:val="0"/>
              <w:keepLines w:val="0"/>
              <w:pageBreakBefore w:val="0"/>
              <w:widowControl w:val="0"/>
              <w:kinsoku/>
              <w:wordWrap/>
              <w:overflowPunct/>
              <w:topLinePunct w:val="0"/>
              <w:autoSpaceDE/>
              <w:autoSpaceDN/>
              <w:bidi w:val="0"/>
              <w:adjustRightInd/>
              <w:snapToGrid/>
              <w:spacing w:before="9" w:line="280" w:lineRule="exact"/>
              <w:textAlignment w:val="auto"/>
              <w:rPr>
                <w:rFonts w:hint="eastAsia" w:ascii="仿宋" w:hAnsi="仿宋" w:eastAsia="仿宋" w:cs="仿宋"/>
                <w:color w:val="000000"/>
                <w:sz w:val="22"/>
                <w:szCs w:val="22"/>
                <w:highlight w:val="none"/>
                <w:lang w:eastAsia="zh-CN"/>
              </w:rPr>
            </w:pPr>
            <w:r>
              <w:rPr>
                <w:rFonts w:hint="eastAsia" w:ascii="仿宋" w:hAnsi="仿宋" w:eastAsia="仿宋" w:cs="仿宋"/>
                <w:color w:val="000000"/>
                <w:spacing w:val="1"/>
                <w:sz w:val="22"/>
                <w:szCs w:val="22"/>
                <w:highlight w:val="none"/>
              </w:rPr>
              <w:t>14.抽查医疗数据管理情况(恶意泄露、买卖患者就医信息等)</w:t>
            </w:r>
            <w:r>
              <w:rPr>
                <w:rFonts w:hint="eastAsia" w:ascii="仿宋" w:hAnsi="仿宋" w:eastAsia="仿宋" w:cs="仿宋"/>
                <w:color w:val="000000"/>
                <w:spacing w:val="1"/>
                <w:sz w:val="22"/>
                <w:szCs w:val="22"/>
                <w:highlight w:val="none"/>
                <w:lang w:eastAsia="zh-CN"/>
              </w:rPr>
              <w:t>。</w:t>
            </w:r>
          </w:p>
          <w:p>
            <w:pPr>
              <w:pStyle w:val="25"/>
              <w:keepNext w:val="0"/>
              <w:keepLines w:val="0"/>
              <w:pageBreakBefore w:val="0"/>
              <w:widowControl w:val="0"/>
              <w:kinsoku/>
              <w:wordWrap/>
              <w:overflowPunct/>
              <w:topLinePunct w:val="0"/>
              <w:autoSpaceDE/>
              <w:autoSpaceDN/>
              <w:bidi w:val="0"/>
              <w:adjustRightInd/>
              <w:snapToGrid/>
              <w:spacing w:before="1" w:line="280" w:lineRule="exact"/>
              <w:jc w:val="both"/>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10"/>
                <w:sz w:val="22"/>
                <w:szCs w:val="22"/>
                <w:highlight w:val="none"/>
              </w:rPr>
              <w:t>15.抽查互联网诊疗管理情况(互联网医院及其所依托的实体医疗机构执业资质和互</w:t>
            </w:r>
            <w:r>
              <w:rPr>
                <w:rFonts w:hint="eastAsia" w:ascii="仿宋" w:hAnsi="仿宋" w:eastAsia="仿宋" w:cs="仿宋"/>
                <w:color w:val="000000"/>
                <w:spacing w:val="-11"/>
                <w:sz w:val="22"/>
                <w:szCs w:val="22"/>
                <w:highlight w:val="none"/>
              </w:rPr>
              <w:t>联网诊疗活动等)。</w:t>
            </w:r>
          </w:p>
        </w:tc>
        <w:tc>
          <w:tcPr>
            <w:tcW w:w="2183" w:type="dxa"/>
            <w:vMerge w:val="restart"/>
            <w:tcBorders>
              <w:bottom w:val="nil"/>
            </w:tcBorders>
            <w:noWrap w:val="0"/>
            <w:vAlign w:val="top"/>
          </w:tcPr>
          <w:p>
            <w:pPr>
              <w:spacing w:line="250" w:lineRule="auto"/>
              <w:rPr>
                <w:rFonts w:hint="eastAsia" w:ascii="仿宋" w:hAnsi="仿宋" w:eastAsia="仿宋" w:cs="仿宋"/>
                <w:color w:val="000000"/>
                <w:sz w:val="21"/>
                <w:highlight w:val="none"/>
              </w:rPr>
            </w:pPr>
          </w:p>
          <w:p>
            <w:pPr>
              <w:spacing w:line="250" w:lineRule="auto"/>
              <w:rPr>
                <w:rFonts w:hint="eastAsia" w:ascii="仿宋" w:hAnsi="仿宋" w:eastAsia="仿宋" w:cs="仿宋"/>
                <w:color w:val="000000"/>
                <w:sz w:val="21"/>
                <w:highlight w:val="none"/>
              </w:rPr>
            </w:pPr>
          </w:p>
          <w:p>
            <w:pPr>
              <w:spacing w:line="250" w:lineRule="auto"/>
              <w:rPr>
                <w:rFonts w:hint="eastAsia" w:ascii="仿宋" w:hAnsi="仿宋" w:eastAsia="仿宋" w:cs="仿宋"/>
                <w:color w:val="000000"/>
                <w:sz w:val="21"/>
                <w:highlight w:val="none"/>
              </w:rPr>
            </w:pPr>
          </w:p>
          <w:p>
            <w:pPr>
              <w:spacing w:line="250" w:lineRule="auto"/>
              <w:rPr>
                <w:rFonts w:hint="eastAsia" w:ascii="仿宋" w:hAnsi="仿宋" w:eastAsia="仿宋" w:cs="仿宋"/>
                <w:color w:val="000000"/>
                <w:sz w:val="21"/>
                <w:highlight w:val="none"/>
              </w:rPr>
            </w:pPr>
          </w:p>
          <w:p>
            <w:pPr>
              <w:spacing w:line="250" w:lineRule="auto"/>
              <w:rPr>
                <w:rFonts w:hint="eastAsia" w:ascii="仿宋" w:hAnsi="仿宋" w:eastAsia="仿宋" w:cs="仿宋"/>
                <w:color w:val="000000"/>
                <w:sz w:val="21"/>
                <w:highlight w:val="none"/>
              </w:rPr>
            </w:pPr>
          </w:p>
          <w:p>
            <w:pPr>
              <w:pStyle w:val="25"/>
              <w:keepNext w:val="0"/>
              <w:keepLines w:val="0"/>
              <w:pageBreakBefore w:val="0"/>
              <w:widowControl w:val="0"/>
              <w:kinsoku/>
              <w:wordWrap/>
              <w:overflowPunct/>
              <w:topLinePunct w:val="0"/>
              <w:autoSpaceDE/>
              <w:autoSpaceDN/>
              <w:bidi w:val="0"/>
              <w:adjustRightInd/>
              <w:snapToGrid/>
              <w:spacing w:before="71" w:line="280" w:lineRule="exact"/>
              <w:ind w:right="79"/>
              <w:jc w:val="both"/>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1"/>
                <w:sz w:val="22"/>
                <w:szCs w:val="22"/>
                <w:highlight w:val="none"/>
              </w:rPr>
              <w:t>根据各机构业务开展</w:t>
            </w:r>
            <w:r>
              <w:rPr>
                <w:rFonts w:hint="eastAsia" w:ascii="仿宋" w:hAnsi="仿宋" w:eastAsia="仿宋" w:cs="仿宋"/>
                <w:color w:val="000000"/>
                <w:spacing w:val="2"/>
                <w:sz w:val="22"/>
                <w:szCs w:val="22"/>
                <w:highlight w:val="none"/>
              </w:rPr>
              <w:t xml:space="preserve"> </w:t>
            </w:r>
            <w:r>
              <w:rPr>
                <w:rFonts w:hint="eastAsia" w:ascii="仿宋" w:hAnsi="仿宋" w:eastAsia="仿宋" w:cs="仿宋"/>
                <w:color w:val="000000"/>
                <w:spacing w:val="-2"/>
                <w:sz w:val="22"/>
                <w:szCs w:val="22"/>
                <w:highlight w:val="none"/>
              </w:rPr>
              <w:t>情况，检查内容可合</w:t>
            </w:r>
            <w:r>
              <w:rPr>
                <w:rFonts w:hint="eastAsia" w:ascii="仿宋" w:hAnsi="仿宋" w:eastAsia="仿宋" w:cs="仿宋"/>
                <w:color w:val="000000"/>
                <w:spacing w:val="7"/>
                <w:sz w:val="22"/>
                <w:szCs w:val="22"/>
                <w:highlight w:val="none"/>
              </w:rPr>
              <w:t xml:space="preserve"> </w:t>
            </w:r>
            <w:r>
              <w:rPr>
                <w:rFonts w:hint="eastAsia" w:ascii="仿宋" w:hAnsi="仿宋" w:eastAsia="仿宋" w:cs="仿宋"/>
                <w:color w:val="000000"/>
                <w:spacing w:val="5"/>
                <w:sz w:val="22"/>
                <w:szCs w:val="22"/>
                <w:highlight w:val="none"/>
              </w:rPr>
              <w:t>理缺项。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9" w:hRule="atLeast"/>
          <w:jc w:val="center"/>
        </w:trPr>
        <w:tc>
          <w:tcPr>
            <w:tcW w:w="565" w:type="dxa"/>
            <w:noWrap w:val="0"/>
            <w:vAlign w:val="center"/>
          </w:tcPr>
          <w:p>
            <w:pPr>
              <w:pStyle w:val="25"/>
              <w:spacing w:before="72"/>
              <w:ind w:firstLine="220" w:firstLineChars="100"/>
              <w:jc w:val="both"/>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3</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1"/>
                <w:highlight w:val="none"/>
              </w:rPr>
            </w:pPr>
          </w:p>
          <w:p>
            <w:pPr>
              <w:pStyle w:val="25"/>
              <w:keepNext w:val="0"/>
              <w:keepLines w:val="0"/>
              <w:pageBreakBefore w:val="0"/>
              <w:widowControl w:val="0"/>
              <w:kinsoku/>
              <w:wordWrap/>
              <w:overflowPunct/>
              <w:topLinePunct w:val="0"/>
              <w:autoSpaceDE/>
              <w:autoSpaceDN/>
              <w:bidi w:val="0"/>
              <w:adjustRightInd/>
              <w:snapToGrid/>
              <w:spacing w:before="71" w:line="280" w:lineRule="exact"/>
              <w:ind w:left="169"/>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8"/>
                <w:sz w:val="22"/>
                <w:szCs w:val="22"/>
                <w:highlight w:val="none"/>
              </w:rPr>
              <w:t>其他中</w:t>
            </w:r>
          </w:p>
          <w:p>
            <w:pPr>
              <w:pStyle w:val="25"/>
              <w:keepNext w:val="0"/>
              <w:keepLines w:val="0"/>
              <w:pageBreakBefore w:val="0"/>
              <w:widowControl w:val="0"/>
              <w:kinsoku/>
              <w:wordWrap/>
              <w:overflowPunct/>
              <w:topLinePunct w:val="0"/>
              <w:autoSpaceDE/>
              <w:autoSpaceDN/>
              <w:bidi w:val="0"/>
              <w:adjustRightInd/>
              <w:snapToGrid/>
              <w:spacing w:before="127" w:line="280" w:lineRule="exact"/>
              <w:ind w:left="169"/>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3"/>
                <w:sz w:val="22"/>
                <w:szCs w:val="22"/>
                <w:highlight w:val="none"/>
              </w:rPr>
              <w:t>医医疗</w:t>
            </w:r>
          </w:p>
          <w:p>
            <w:pPr>
              <w:pStyle w:val="25"/>
              <w:keepNext w:val="0"/>
              <w:keepLines w:val="0"/>
              <w:pageBreakBefore w:val="0"/>
              <w:widowControl w:val="0"/>
              <w:kinsoku/>
              <w:wordWrap/>
              <w:overflowPunct/>
              <w:topLinePunct w:val="0"/>
              <w:autoSpaceDE/>
              <w:autoSpaceDN/>
              <w:bidi w:val="0"/>
              <w:adjustRightInd/>
              <w:snapToGrid/>
              <w:spacing w:before="135" w:line="280" w:lineRule="exact"/>
              <w:ind w:left="119"/>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2"/>
                <w:sz w:val="22"/>
                <w:szCs w:val="22"/>
                <w:highlight w:val="none"/>
              </w:rPr>
              <w:t>机构(含</w:t>
            </w:r>
          </w:p>
          <w:p>
            <w:pPr>
              <w:pStyle w:val="25"/>
              <w:keepNext w:val="0"/>
              <w:keepLines w:val="0"/>
              <w:pageBreakBefore w:val="0"/>
              <w:widowControl w:val="0"/>
              <w:kinsoku/>
              <w:wordWrap/>
              <w:overflowPunct/>
              <w:topLinePunct w:val="0"/>
              <w:autoSpaceDE/>
              <w:autoSpaceDN/>
              <w:bidi w:val="0"/>
              <w:adjustRightInd/>
              <w:snapToGrid/>
              <w:spacing w:before="141" w:line="280" w:lineRule="exact"/>
              <w:ind w:left="59"/>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中医、中</w:t>
            </w:r>
          </w:p>
          <w:p>
            <w:pPr>
              <w:pStyle w:val="25"/>
              <w:keepNext w:val="0"/>
              <w:keepLines w:val="0"/>
              <w:pageBreakBefore w:val="0"/>
              <w:widowControl w:val="0"/>
              <w:kinsoku/>
              <w:wordWrap/>
              <w:overflowPunct/>
              <w:topLinePunct w:val="0"/>
              <w:autoSpaceDE/>
              <w:autoSpaceDN/>
              <w:bidi w:val="0"/>
              <w:adjustRightInd/>
              <w:snapToGrid/>
              <w:spacing w:before="139" w:line="280" w:lineRule="exact"/>
              <w:ind w:left="59" w:right="88" w:firstLine="109"/>
              <w:jc w:val="both"/>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4"/>
                <w:sz w:val="22"/>
                <w:szCs w:val="22"/>
                <w:highlight w:val="none"/>
              </w:rPr>
              <w:t>西医结</w:t>
            </w:r>
            <w:r>
              <w:rPr>
                <w:rFonts w:hint="eastAsia" w:ascii="仿宋" w:hAnsi="仿宋" w:eastAsia="仿宋" w:cs="仿宋"/>
                <w:color w:val="000000"/>
                <w:sz w:val="22"/>
                <w:szCs w:val="22"/>
                <w:highlight w:val="none"/>
              </w:rPr>
              <w:t xml:space="preserve"> </w:t>
            </w:r>
            <w:r>
              <w:rPr>
                <w:rFonts w:hint="eastAsia" w:ascii="仿宋" w:hAnsi="仿宋" w:eastAsia="仿宋" w:cs="仿宋"/>
                <w:color w:val="000000"/>
                <w:spacing w:val="-3"/>
                <w:sz w:val="22"/>
                <w:szCs w:val="22"/>
                <w:highlight w:val="none"/>
              </w:rPr>
              <w:t>合、民族</w:t>
            </w:r>
          </w:p>
          <w:p>
            <w:pPr>
              <w:pStyle w:val="25"/>
              <w:keepNext w:val="0"/>
              <w:keepLines w:val="0"/>
              <w:pageBreakBefore w:val="0"/>
              <w:widowControl w:val="0"/>
              <w:kinsoku/>
              <w:wordWrap/>
              <w:overflowPunct/>
              <w:topLinePunct w:val="0"/>
              <w:autoSpaceDE/>
              <w:autoSpaceDN/>
              <w:bidi w:val="0"/>
              <w:adjustRightInd/>
              <w:snapToGrid/>
              <w:spacing w:before="1" w:line="280" w:lineRule="exact"/>
              <w:ind w:left="117" w:hanging="58"/>
              <w:jc w:val="center"/>
              <w:textAlignment w:val="auto"/>
              <w:rPr>
                <w:rFonts w:hint="eastAsia" w:ascii="仿宋" w:hAnsi="仿宋" w:eastAsia="仿宋" w:cs="仿宋"/>
                <w:color w:val="000000"/>
                <w:sz w:val="22"/>
                <w:szCs w:val="22"/>
                <w:highlight w:val="none"/>
              </w:rPr>
            </w:pPr>
            <w:r>
              <w:rPr>
                <w:rFonts w:hint="eastAsia" w:ascii="仿宋" w:hAnsi="仿宋" w:eastAsia="仿宋" w:cs="仿宋"/>
                <w:color w:val="000000"/>
                <w:spacing w:val="6"/>
                <w:sz w:val="22"/>
                <w:szCs w:val="22"/>
                <w:highlight w:val="none"/>
              </w:rPr>
              <w:t>医诊所</w:t>
            </w:r>
            <w:r>
              <w:rPr>
                <w:rFonts w:hint="eastAsia" w:ascii="仿宋" w:hAnsi="仿宋" w:eastAsia="仿宋" w:cs="仿宋"/>
                <w:color w:val="000000"/>
                <w:spacing w:val="-56"/>
                <w:sz w:val="22"/>
                <w:szCs w:val="22"/>
                <w:highlight w:val="none"/>
              </w:rPr>
              <w:t xml:space="preserve"> </w:t>
            </w:r>
            <w:r>
              <w:rPr>
                <w:rFonts w:hint="eastAsia" w:ascii="仿宋" w:hAnsi="仿宋" w:eastAsia="仿宋" w:cs="仿宋"/>
                <w:color w:val="000000"/>
                <w:spacing w:val="6"/>
                <w:sz w:val="22"/>
                <w:szCs w:val="22"/>
                <w:highlight w:val="none"/>
              </w:rPr>
              <w:t>、</w:t>
            </w:r>
            <w:r>
              <w:rPr>
                <w:rFonts w:hint="eastAsia" w:ascii="仿宋" w:hAnsi="仿宋" w:eastAsia="仿宋" w:cs="仿宋"/>
                <w:color w:val="000000"/>
                <w:sz w:val="22"/>
                <w:szCs w:val="22"/>
                <w:highlight w:val="none"/>
              </w:rPr>
              <w:t xml:space="preserve"> </w:t>
            </w:r>
            <w:r>
              <w:rPr>
                <w:rFonts w:hint="eastAsia" w:ascii="仿宋" w:hAnsi="仿宋" w:eastAsia="仿宋" w:cs="仿宋"/>
                <w:color w:val="000000"/>
                <w:spacing w:val="5"/>
                <w:sz w:val="22"/>
                <w:szCs w:val="22"/>
                <w:highlight w:val="none"/>
              </w:rPr>
              <w:t>门诊部)</w:t>
            </w:r>
          </w:p>
        </w:tc>
        <w:tc>
          <w:tcPr>
            <w:tcW w:w="879" w:type="dxa"/>
            <w:noWrap w:val="0"/>
            <w:vAlign w:val="center"/>
          </w:tcPr>
          <w:p>
            <w:pPr>
              <w:pStyle w:val="25"/>
              <w:spacing w:before="72"/>
              <w:ind w:firstLine="424" w:firstLineChars="200"/>
              <w:jc w:val="both"/>
              <w:rPr>
                <w:rFonts w:hint="eastAsia" w:ascii="仿宋" w:hAnsi="仿宋" w:eastAsia="仿宋" w:cs="仿宋"/>
                <w:color w:val="000000"/>
                <w:sz w:val="22"/>
                <w:szCs w:val="22"/>
                <w:highlight w:val="none"/>
              </w:rPr>
            </w:pPr>
            <w:r>
              <w:rPr>
                <w:rFonts w:hint="eastAsia" w:ascii="仿宋" w:hAnsi="仿宋" w:eastAsia="仿宋" w:cs="仿宋"/>
                <w:color w:val="000000"/>
                <w:spacing w:val="-4"/>
                <w:sz w:val="22"/>
                <w:szCs w:val="22"/>
                <w:highlight w:val="none"/>
              </w:rPr>
              <w:t>3%</w:t>
            </w:r>
          </w:p>
        </w:tc>
        <w:tc>
          <w:tcPr>
            <w:tcW w:w="9434" w:type="dxa"/>
            <w:vMerge w:val="continue"/>
            <w:tcBorders>
              <w:top w:val="nil"/>
            </w:tcBorders>
            <w:noWrap w:val="0"/>
            <w:vAlign w:val="top"/>
          </w:tcPr>
          <w:p>
            <w:pPr>
              <w:rPr>
                <w:rFonts w:hint="eastAsia" w:ascii="仿宋" w:hAnsi="仿宋" w:eastAsia="仿宋" w:cs="仿宋"/>
                <w:color w:val="000000"/>
                <w:sz w:val="21"/>
                <w:highlight w:val="none"/>
              </w:rPr>
            </w:pPr>
          </w:p>
        </w:tc>
        <w:tc>
          <w:tcPr>
            <w:tcW w:w="2183" w:type="dxa"/>
            <w:vMerge w:val="continue"/>
            <w:tcBorders>
              <w:top w:val="nil"/>
            </w:tcBorders>
            <w:noWrap w:val="0"/>
            <w:vAlign w:val="top"/>
          </w:tcPr>
          <w:p>
            <w:pPr>
              <w:rPr>
                <w:rFonts w:hint="eastAsia" w:ascii="仿宋" w:hAnsi="仿宋" w:eastAsia="仿宋" w:cs="仿宋"/>
                <w:color w:val="000000"/>
                <w:sz w:val="21"/>
                <w:highlight w:val="none"/>
              </w:rPr>
            </w:pPr>
          </w:p>
        </w:tc>
      </w:tr>
    </w:tbl>
    <w:p>
      <w:pPr>
        <w:rPr>
          <w:color w:val="000000"/>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spacing w:val="16"/>
          <w:sz w:val="21"/>
          <w:szCs w:val="21"/>
          <w:highlight w:val="none"/>
          <w:lang w:val="en-US" w:eastAsia="zh-CN"/>
        </w:rPr>
      </w:pPr>
      <w:r>
        <w:rPr>
          <w:rFonts w:ascii="黑体" w:hAnsi="黑体" w:eastAsia="黑体" w:cs="黑体"/>
          <w:b w:val="0"/>
          <w:bCs w:val="0"/>
          <w:color w:val="000000"/>
          <w:spacing w:val="16"/>
          <w:sz w:val="32"/>
          <w:szCs w:val="32"/>
          <w:highlight w:val="none"/>
        </w:rPr>
        <w:t>附表</w:t>
      </w:r>
      <w:r>
        <w:rPr>
          <w:rFonts w:hint="eastAsia" w:ascii="黑体" w:hAnsi="黑体" w:eastAsia="黑体" w:cs="黑体"/>
          <w:b w:val="0"/>
          <w:bCs w:val="0"/>
          <w:color w:val="000000"/>
          <w:spacing w:val="16"/>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104" w:line="400" w:lineRule="exact"/>
        <w:ind w:left="19"/>
        <w:jc w:val="center"/>
        <w:textAlignment w:val="auto"/>
        <w:rPr>
          <w:rFonts w:hint="eastAsia" w:ascii="方正小标宋简体" w:hAnsi="方正小标宋简体" w:eastAsia="方正小标宋简体" w:cs="方正小标宋简体"/>
          <w:color w:val="000000"/>
          <w:spacing w:val="1"/>
          <w:kern w:val="0"/>
          <w:sz w:val="44"/>
          <w:szCs w:val="44"/>
          <w:highlight w:val="none"/>
          <w:lang w:val="en-US" w:eastAsia="zh-CN" w:bidi="zh-CN"/>
        </w:rPr>
      </w:pPr>
      <w:r>
        <w:rPr>
          <w:rFonts w:hint="eastAsia" w:ascii="方正小标宋简体" w:hAnsi="方正小标宋简体" w:eastAsia="方正小标宋简体" w:cs="方正小标宋简体"/>
          <w:color w:val="000000"/>
          <w:spacing w:val="1"/>
          <w:kern w:val="0"/>
          <w:sz w:val="44"/>
          <w:szCs w:val="44"/>
          <w:highlight w:val="none"/>
          <w:lang w:val="en-US" w:eastAsia="zh-CN" w:bidi="zh-CN"/>
        </w:rPr>
        <w:t>2025年中医医疗机构国家随机监督抽查汇总表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652"/>
        <w:gridCol w:w="573"/>
        <w:gridCol w:w="423"/>
        <w:gridCol w:w="350"/>
        <w:gridCol w:w="440"/>
        <w:gridCol w:w="436"/>
        <w:gridCol w:w="400"/>
        <w:gridCol w:w="401"/>
        <w:gridCol w:w="652"/>
        <w:gridCol w:w="393"/>
        <w:gridCol w:w="395"/>
        <w:gridCol w:w="393"/>
        <w:gridCol w:w="393"/>
        <w:gridCol w:w="393"/>
        <w:gridCol w:w="393"/>
        <w:gridCol w:w="393"/>
        <w:gridCol w:w="393"/>
        <w:gridCol w:w="393"/>
        <w:gridCol w:w="393"/>
        <w:gridCol w:w="393"/>
        <w:gridCol w:w="393"/>
        <w:gridCol w:w="393"/>
        <w:gridCol w:w="393"/>
        <w:gridCol w:w="393"/>
        <w:gridCol w:w="395"/>
        <w:gridCol w:w="395"/>
        <w:gridCol w:w="395"/>
        <w:gridCol w:w="395"/>
        <w:gridCol w:w="395"/>
        <w:gridCol w:w="394"/>
        <w:gridCol w:w="391"/>
        <w:gridCol w:w="401"/>
        <w:gridCol w:w="321"/>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单位类别</w:t>
            </w:r>
          </w:p>
        </w:tc>
        <w:tc>
          <w:tcPr>
            <w:tcW w:w="11547" w:type="dxa"/>
            <w:gridSpan w:val="28"/>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不合格的</w:t>
            </w:r>
          </w:p>
        </w:tc>
        <w:tc>
          <w:tcPr>
            <w:tcW w:w="1984" w:type="dxa"/>
            <w:gridSpan w:val="5"/>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9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医疗机构资质管理</w:t>
            </w:r>
          </w:p>
        </w:tc>
        <w:tc>
          <w:tcPr>
            <w:tcW w:w="20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医疗卫生人员管理</w:t>
            </w:r>
          </w:p>
        </w:tc>
        <w:tc>
          <w:tcPr>
            <w:tcW w:w="183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药品和医疗器械管理</w:t>
            </w:r>
          </w:p>
        </w:tc>
        <w:tc>
          <w:tcPr>
            <w:tcW w:w="196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医疗技术与生物医学研究管理</w:t>
            </w:r>
          </w:p>
        </w:tc>
        <w:tc>
          <w:tcPr>
            <w:tcW w:w="157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医疗文书管理</w:t>
            </w:r>
          </w:p>
        </w:tc>
        <w:tc>
          <w:tcPr>
            <w:tcW w:w="11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政策落实</w:t>
            </w:r>
          </w:p>
        </w:tc>
        <w:tc>
          <w:tcPr>
            <w:tcW w:w="19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重点领域执法</w:t>
            </w:r>
          </w:p>
        </w:tc>
        <w:tc>
          <w:tcPr>
            <w:tcW w:w="1984" w:type="dxa"/>
            <w:gridSpan w:val="5"/>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执业许可证（备案证、备案凭证）管理不符合要求单位数</w:t>
            </w: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医疗机构诊疗活动管理不符合要求单位数</w:t>
            </w: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医师</w:t>
            </w:r>
            <w:r>
              <w:rPr>
                <w:rFonts w:hint="eastAsia" w:ascii="仿宋" w:hAnsi="仿宋" w:eastAsia="仿宋" w:cs="仿宋"/>
                <w:color w:val="000000"/>
                <w:sz w:val="18"/>
                <w:szCs w:val="18"/>
                <w:highlight w:val="none"/>
                <w:lang w:eastAsia="zh-CN"/>
              </w:rPr>
              <w:t>（其中中医医师）</w:t>
            </w:r>
            <w:r>
              <w:rPr>
                <w:rFonts w:hint="eastAsia" w:ascii="仿宋" w:hAnsi="仿宋" w:eastAsia="仿宋" w:cs="仿宋"/>
                <w:color w:val="000000"/>
                <w:sz w:val="18"/>
                <w:szCs w:val="18"/>
                <w:highlight w:val="none"/>
              </w:rPr>
              <w:t>管理不符合要求</w:t>
            </w:r>
            <w:r>
              <w:rPr>
                <w:rFonts w:hint="eastAsia" w:ascii="仿宋" w:hAnsi="仿宋" w:eastAsia="仿宋" w:cs="仿宋"/>
                <w:color w:val="000000"/>
                <w:sz w:val="18"/>
                <w:szCs w:val="18"/>
                <w:highlight w:val="none"/>
                <w:lang w:eastAsia="zh-CN"/>
              </w:rPr>
              <w:t>单位数</w:t>
            </w: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中医（专长）医师管理不符合要求单位数</w:t>
            </w: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护士管理不符合要求单位数</w:t>
            </w: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医技人员管理不符合要求单位数</w:t>
            </w: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lang w:eastAsia="zh-CN"/>
              </w:rPr>
              <w:t>中药师</w:t>
            </w:r>
            <w:r>
              <w:rPr>
                <w:rFonts w:hint="eastAsia" w:ascii="仿宋" w:hAnsi="仿宋" w:eastAsia="仿宋" w:cs="仿宋"/>
                <w:color w:val="000000"/>
                <w:sz w:val="18"/>
                <w:szCs w:val="18"/>
                <w:highlight w:val="none"/>
              </w:rPr>
              <w:t>管理不符合要求单位数</w:t>
            </w: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医疗用毒性药品、麻醉药品和精神药品管理不符合要求单位数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抗菌药物管理不符合要求单位数</w:t>
            </w: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中药饮片管理</w:t>
            </w:r>
            <w:r>
              <w:rPr>
                <w:rFonts w:hint="eastAsia" w:ascii="仿宋" w:hAnsi="仿宋" w:eastAsia="仿宋" w:cs="仿宋"/>
                <w:color w:val="000000"/>
                <w:sz w:val="18"/>
                <w:szCs w:val="18"/>
                <w:highlight w:val="none"/>
              </w:rPr>
              <w:t>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医疗器械管理不符合要求单位数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禁止</w:t>
            </w:r>
            <w:r>
              <w:rPr>
                <w:rFonts w:hint="eastAsia" w:ascii="仿宋" w:hAnsi="仿宋" w:eastAsia="仿宋" w:cs="仿宋"/>
                <w:color w:val="000000"/>
                <w:sz w:val="18"/>
                <w:szCs w:val="18"/>
                <w:highlight w:val="none"/>
                <w:lang w:eastAsia="zh-CN"/>
              </w:rPr>
              <w:t>类</w:t>
            </w:r>
            <w:r>
              <w:rPr>
                <w:rFonts w:hint="eastAsia" w:ascii="仿宋" w:hAnsi="仿宋" w:eastAsia="仿宋" w:cs="仿宋"/>
                <w:color w:val="000000"/>
                <w:sz w:val="18"/>
                <w:szCs w:val="18"/>
                <w:highlight w:val="none"/>
              </w:rPr>
              <w:t>技术管理不符合要求单位数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限制</w:t>
            </w:r>
            <w:r>
              <w:rPr>
                <w:rFonts w:hint="eastAsia" w:ascii="仿宋" w:hAnsi="仿宋" w:eastAsia="仿宋" w:cs="仿宋"/>
                <w:color w:val="000000"/>
                <w:sz w:val="18"/>
                <w:szCs w:val="18"/>
                <w:highlight w:val="none"/>
                <w:lang w:eastAsia="zh-CN"/>
              </w:rPr>
              <w:t>类</w:t>
            </w:r>
            <w:r>
              <w:rPr>
                <w:rFonts w:hint="eastAsia" w:ascii="仿宋" w:hAnsi="仿宋" w:eastAsia="仿宋" w:cs="仿宋"/>
                <w:color w:val="000000"/>
                <w:sz w:val="18"/>
                <w:szCs w:val="18"/>
                <w:highlight w:val="none"/>
              </w:rPr>
              <w:t>技术管理不符合要求单位数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医疗美容管理不符合要求单位数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临床基因扩增管理不符合要求单位数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生物医学研究管理不符合要求单位数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处方管理不符合要求单位数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病历管理不符合要求单位数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医学证明文件管理不符合要求单位数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抽查重点病</w:t>
            </w:r>
            <w:r>
              <w:rPr>
                <w:rFonts w:hint="eastAsia" w:ascii="仿宋" w:hAnsi="仿宋" w:eastAsia="仿宋" w:cs="仿宋"/>
                <w:color w:val="000000"/>
                <w:sz w:val="18"/>
                <w:szCs w:val="18"/>
                <w:highlight w:val="none"/>
                <w:lang w:eastAsia="zh-CN"/>
              </w:rPr>
              <w:t>历</w:t>
            </w:r>
            <w:r>
              <w:rPr>
                <w:rFonts w:hint="eastAsia" w:ascii="仿宋" w:hAnsi="仿宋" w:eastAsia="仿宋" w:cs="仿宋"/>
                <w:color w:val="000000"/>
                <w:sz w:val="18"/>
                <w:szCs w:val="18"/>
                <w:highlight w:val="none"/>
              </w:rPr>
              <w:t>不合格单位数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公立医疗机构开设营利性药店单位数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公立医疗机构加价销售医用耗材单位数</w:t>
            </w: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公立医疗机构薪酬与业务收入挂钩单位数</w:t>
            </w: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殡葬涉医领域管理不符合单位数</w:t>
            </w: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患者就医信息数据等医疗数据管理不符合情况单位数</w:t>
            </w: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互联网诊疗管理不符合单位数</w:t>
            </w: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医保涉医领域管理不符合单位数</w:t>
            </w: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中医医疗广告发布不符合规定单位数</w:t>
            </w: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查处案件数</w:t>
            </w: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罚没款金额（万元）</w:t>
            </w: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z w:val="18"/>
                <w:szCs w:val="18"/>
                <w:highlight w:val="none"/>
              </w:rPr>
              <w:t>吊销《医疗机构执业许可证》单位数</w:t>
            </w: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注销或者撤销备案证单位数</w:t>
            </w: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吊销医师（其中中医医师）资格证单位数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医院</w:t>
            </w: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中医医院</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中西医结合医院</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民族医医院</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门诊部</w:t>
            </w: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中医门诊部</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中西医结合门诊部</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民族医门诊部</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诊所</w:t>
            </w: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中医诊所</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中医（综合）诊所</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中西医结合诊所</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104" w:line="18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r>
              <w:rPr>
                <w:rFonts w:hint="eastAsia" w:ascii="仿宋" w:hAnsi="仿宋" w:eastAsia="仿宋" w:cs="仿宋"/>
                <w:color w:val="000000"/>
                <w:spacing w:val="1"/>
                <w:kern w:val="0"/>
                <w:sz w:val="18"/>
                <w:szCs w:val="18"/>
                <w:highlight w:val="none"/>
                <w:vertAlign w:val="baseline"/>
                <w:lang w:val="en-US" w:eastAsia="zh-CN" w:bidi="zh-CN"/>
              </w:rPr>
              <w:t>民族医诊所</w:t>
            </w:r>
          </w:p>
        </w:tc>
        <w:tc>
          <w:tcPr>
            <w:tcW w:w="57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5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4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36"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0"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652"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3"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5"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4"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9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0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321"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c>
          <w:tcPr>
            <w:tcW w:w="477" w:type="dxa"/>
            <w:noWrap w:val="0"/>
            <w:vAlign w:val="top"/>
          </w:tcPr>
          <w:p>
            <w:pPr>
              <w:keepNext w:val="0"/>
              <w:keepLines w:val="0"/>
              <w:pageBreakBefore w:val="0"/>
              <w:widowControl w:val="0"/>
              <w:kinsoku/>
              <w:wordWrap/>
              <w:overflowPunct/>
              <w:topLinePunct w:val="0"/>
              <w:autoSpaceDE/>
              <w:autoSpaceDN/>
              <w:bidi w:val="0"/>
              <w:adjustRightInd/>
              <w:snapToGrid/>
              <w:spacing w:before="104" w:line="200" w:lineRule="exact"/>
              <w:jc w:val="center"/>
              <w:textAlignment w:val="auto"/>
              <w:rPr>
                <w:rFonts w:hint="eastAsia" w:ascii="仿宋" w:hAnsi="仿宋" w:eastAsia="仿宋" w:cs="仿宋"/>
                <w:color w:val="000000"/>
                <w:spacing w:val="1"/>
                <w:kern w:val="0"/>
                <w:sz w:val="18"/>
                <w:szCs w:val="18"/>
                <w:highlight w:val="none"/>
                <w:vertAlign w:val="baseline"/>
                <w:lang w:val="en-US" w:eastAsia="zh-CN" w:bidi="zh-CN"/>
              </w:rPr>
            </w:pPr>
          </w:p>
        </w:tc>
      </w:tr>
    </w:tbl>
    <w:p>
      <w:pPr>
        <w:spacing w:before="104" w:line="223" w:lineRule="auto"/>
        <w:ind w:left="19"/>
        <w:jc w:val="center"/>
        <w:rPr>
          <w:rFonts w:hint="eastAsia" w:ascii="宋体" w:hAnsi="宋体" w:eastAsia="宋体" w:cs="宋体"/>
          <w:color w:val="000000"/>
          <w:spacing w:val="1"/>
          <w:kern w:val="0"/>
          <w:sz w:val="36"/>
          <w:szCs w:val="36"/>
          <w:highlight w:val="none"/>
          <w:lang w:val="en-US" w:eastAsia="zh-CN" w:bidi="zh-CN"/>
        </w:rPr>
      </w:pPr>
    </w:p>
    <w:p>
      <w:pPr>
        <w:spacing w:before="104" w:line="223" w:lineRule="auto"/>
        <w:ind w:left="19"/>
        <w:rPr>
          <w:rFonts w:hint="eastAsia" w:ascii="宋体" w:hAnsi="宋体" w:eastAsia="宋体" w:cs="宋体"/>
          <w:b/>
          <w:bCs/>
          <w:color w:val="000000"/>
          <w:spacing w:val="16"/>
          <w:sz w:val="32"/>
          <w:szCs w:val="32"/>
          <w:highlight w:val="none"/>
        </w:rPr>
      </w:pPr>
    </w:p>
    <w:p>
      <w:pPr>
        <w:spacing w:line="360" w:lineRule="auto"/>
        <w:rPr>
          <w:rFonts w:hint="eastAsia" w:ascii="宋体" w:hAnsi="宋体" w:eastAsia="宋体" w:cs="宋体"/>
          <w:color w:val="000000"/>
          <w:sz w:val="32"/>
          <w:szCs w:val="32"/>
          <w:highlight w:val="none"/>
        </w:rPr>
      </w:pPr>
    </w:p>
    <w:p>
      <w:pPr>
        <w:spacing w:line="360" w:lineRule="auto"/>
        <w:rPr>
          <w:rFonts w:hint="eastAsia" w:ascii="宋体" w:hAnsi="宋体" w:eastAsia="宋体" w:cs="宋体"/>
          <w:color w:val="000000"/>
          <w:sz w:val="32"/>
          <w:szCs w:val="32"/>
          <w:highlight w:val="none"/>
        </w:rPr>
      </w:pPr>
    </w:p>
    <w:p>
      <w:pPr>
        <w:spacing w:line="360" w:lineRule="auto"/>
        <w:rPr>
          <w:rFonts w:hint="eastAsia" w:ascii="宋体" w:hAnsi="宋体" w:eastAsia="宋体" w:cs="宋体"/>
          <w:color w:val="000000"/>
          <w:sz w:val="32"/>
          <w:szCs w:val="32"/>
          <w:highlight w:val="none"/>
        </w:rPr>
      </w:pPr>
    </w:p>
    <w:p>
      <w:pPr>
        <w:spacing w:line="360" w:lineRule="auto"/>
        <w:rPr>
          <w:rFonts w:hint="eastAsia" w:ascii="黑体" w:hAnsi="黑体" w:eastAsia="黑体"/>
          <w:color w:val="000000"/>
          <w:sz w:val="32"/>
          <w:szCs w:val="32"/>
          <w:highlight w:val="none"/>
        </w:rPr>
      </w:pPr>
    </w:p>
    <w:p>
      <w:pPr>
        <w:spacing w:line="360" w:lineRule="auto"/>
        <w:rPr>
          <w:rFonts w:hint="eastAsia" w:ascii="宋体" w:hAnsi="宋体" w:eastAsia="黑体"/>
          <w:b/>
          <w:color w:val="000000"/>
          <w:sz w:val="44"/>
          <w:highlight w:val="none"/>
          <w:lang w:eastAsia="zh-CN"/>
        </w:rPr>
      </w:pPr>
      <w:r>
        <w:rPr>
          <w:rFonts w:hint="eastAsia" w:ascii="黑体" w:hAnsi="黑体" w:eastAsia="黑体"/>
          <w:color w:val="000000"/>
          <w:sz w:val="32"/>
          <w:szCs w:val="32"/>
          <w:highlight w:val="none"/>
        </w:rPr>
        <w:t>附表</w:t>
      </w:r>
      <w:r>
        <w:rPr>
          <w:rFonts w:hint="eastAsia" w:ascii="黑体" w:hAnsi="黑体" w:eastAsia="黑体"/>
          <w:color w:val="000000"/>
          <w:sz w:val="32"/>
          <w:szCs w:val="32"/>
          <w:highlight w:val="none"/>
          <w:lang w:val="en-US" w:eastAsia="zh-CN"/>
        </w:rPr>
        <w:t>5</w:t>
      </w:r>
    </w:p>
    <w:p>
      <w:pPr>
        <w:ind w:right="560"/>
        <w:jc w:val="center"/>
        <w:rPr>
          <w:rFonts w:ascii="方正小标宋简体" w:hAnsi="方正小标宋简体" w:eastAsia="方正小标宋简体" w:cs="方正小标宋简体"/>
          <w:bCs/>
          <w:color w:val="000000"/>
          <w:sz w:val="44"/>
          <w:highlight w:val="none"/>
        </w:rPr>
      </w:pPr>
      <w:r>
        <w:rPr>
          <w:rFonts w:hint="eastAsia" w:ascii="方正小标宋简体" w:hAnsi="方正小标宋简体" w:eastAsia="方正小标宋简体" w:cs="方正小标宋简体"/>
          <w:bCs/>
          <w:color w:val="000000"/>
          <w:sz w:val="44"/>
          <w:highlight w:val="none"/>
        </w:rPr>
        <w:t>202</w:t>
      </w:r>
      <w:r>
        <w:rPr>
          <w:rFonts w:hint="eastAsia" w:ascii="方正小标宋简体" w:hAnsi="方正小标宋简体" w:eastAsia="方正小标宋简体" w:cs="方正小标宋简体"/>
          <w:bCs/>
          <w:color w:val="000000"/>
          <w:sz w:val="44"/>
          <w:highlight w:val="none"/>
          <w:lang w:val="en-US" w:eastAsia="zh-CN"/>
        </w:rPr>
        <w:t>5</w:t>
      </w:r>
      <w:r>
        <w:rPr>
          <w:rFonts w:hint="eastAsia" w:ascii="方正小标宋简体" w:hAnsi="方正小标宋简体" w:eastAsia="方正小标宋简体" w:cs="方正小标宋简体"/>
          <w:bCs/>
          <w:color w:val="000000"/>
          <w:sz w:val="44"/>
          <w:highlight w:val="none"/>
        </w:rPr>
        <w:t>年医疗美容机构国家随机监督抽查工作计划表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03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监督检查对象</w:t>
            </w:r>
          </w:p>
        </w:tc>
        <w:tc>
          <w:tcPr>
            <w:tcW w:w="8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抽检比例</w:t>
            </w:r>
          </w:p>
        </w:tc>
        <w:tc>
          <w:tcPr>
            <w:tcW w:w="886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检查内容</w:t>
            </w:r>
          </w:p>
        </w:tc>
        <w:tc>
          <w:tcPr>
            <w:tcW w:w="2835" w:type="dxa"/>
            <w:noWrap w:val="0"/>
            <w:vAlign w:val="center"/>
          </w:tcPr>
          <w:p>
            <w:pPr>
              <w:keepNext w:val="0"/>
              <w:keepLines w:val="0"/>
              <w:pageBreakBefore w:val="0"/>
              <w:kinsoku/>
              <w:wordWrap/>
              <w:overflowPunct/>
              <w:topLinePunct w:val="0"/>
              <w:autoSpaceDE/>
              <w:autoSpaceDN/>
              <w:bidi w:val="0"/>
              <w:adjustRightInd/>
              <w:snapToGrid/>
              <w:spacing w:line="360" w:lineRule="exact"/>
              <w:ind w:right="560"/>
              <w:jc w:val="center"/>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56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03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医疗美容机构</w:t>
            </w:r>
          </w:p>
        </w:tc>
        <w:tc>
          <w:tcPr>
            <w:tcW w:w="8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w:t>
            </w:r>
          </w:p>
        </w:tc>
        <w:tc>
          <w:tcPr>
            <w:tcW w:w="88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3.药品、医疗器械管理情况。在使用环节是否存在违法违规行为，包括使用不符合法定要求的药品、医疗器械等。</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4.医疗美容广告发布管理情况。是否存在未经批准或篡改《医疗广告审查证明》内容发布医疗美容广告的行为。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5.医疗技术（禁止类技术、限制类技术）管理情况。</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6.医疗文书管理情况。</w:t>
            </w:r>
          </w:p>
        </w:tc>
        <w:tc>
          <w:tcPr>
            <w:tcW w:w="283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内设医疗美容科室的医疗机构</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w:t>
            </w:r>
          </w:p>
        </w:tc>
        <w:tc>
          <w:tcPr>
            <w:tcW w:w="8860" w:type="dxa"/>
            <w:vMerge w:val="continue"/>
            <w:noWrap w:val="0"/>
            <w:vAlign w:val="center"/>
          </w:tcPr>
          <w:p>
            <w:pPr>
              <w:widowControl/>
              <w:jc w:val="left"/>
              <w:rPr>
                <w:rFonts w:hint="eastAsia" w:ascii="仿宋" w:hAnsi="仿宋" w:eastAsia="仿宋" w:cs="仿宋"/>
                <w:color w:val="000000"/>
                <w:szCs w:val="21"/>
                <w:highlight w:val="none"/>
              </w:rPr>
            </w:pPr>
          </w:p>
        </w:tc>
        <w:tc>
          <w:tcPr>
            <w:tcW w:w="2835" w:type="dxa"/>
            <w:vMerge w:val="continue"/>
            <w:noWrap w:val="0"/>
            <w:vAlign w:val="center"/>
          </w:tcPr>
          <w:p>
            <w:pPr>
              <w:spacing w:line="360" w:lineRule="auto"/>
              <w:jc w:val="left"/>
              <w:rPr>
                <w:rFonts w:hint="eastAsia" w:ascii="仿宋" w:hAnsi="仿宋" w:eastAsia="仿宋" w:cs="仿宋"/>
                <w:color w:val="000000"/>
                <w:szCs w:val="21"/>
                <w:highlight w:val="none"/>
              </w:rPr>
            </w:pPr>
          </w:p>
        </w:tc>
      </w:tr>
    </w:tbl>
    <w:p>
      <w:pPr>
        <w:spacing w:line="360" w:lineRule="auto"/>
        <w:rPr>
          <w:rFonts w:hint="eastAsia" w:ascii="黑体" w:hAnsi="黑体" w:eastAsia="黑体"/>
          <w:color w:val="000000"/>
          <w:sz w:val="32"/>
          <w:szCs w:val="32"/>
          <w:highlight w:val="none"/>
        </w:rPr>
      </w:pPr>
    </w:p>
    <w:p>
      <w:pPr>
        <w:spacing w:line="360" w:lineRule="auto"/>
        <w:rPr>
          <w:rFonts w:hint="eastAsia" w:ascii="黑体" w:hAnsi="黑体" w:eastAsia="黑体"/>
          <w:color w:val="000000"/>
          <w:sz w:val="32"/>
          <w:szCs w:val="32"/>
          <w:highlight w:val="none"/>
        </w:rPr>
      </w:pPr>
    </w:p>
    <w:p>
      <w:pPr>
        <w:spacing w:line="360" w:lineRule="auto"/>
        <w:rPr>
          <w:rFonts w:hint="eastAsia" w:eastAsia="黑体"/>
          <w:color w:val="000000"/>
          <w:sz w:val="32"/>
          <w:szCs w:val="32"/>
          <w:highlight w:val="none"/>
          <w:lang w:eastAsia="zh-CN"/>
        </w:rPr>
      </w:pPr>
      <w:r>
        <w:rPr>
          <w:rFonts w:hint="eastAsia" w:ascii="黑体" w:hAnsi="黑体" w:eastAsia="黑体"/>
          <w:color w:val="000000"/>
          <w:sz w:val="32"/>
          <w:szCs w:val="32"/>
          <w:highlight w:val="none"/>
        </w:rPr>
        <w:t>附表</w:t>
      </w:r>
      <w:r>
        <w:rPr>
          <w:rFonts w:hint="eastAsia" w:ascii="黑体" w:hAnsi="黑体" w:eastAsia="黑体"/>
          <w:color w:val="000000"/>
          <w:sz w:val="32"/>
          <w:szCs w:val="32"/>
          <w:highlight w:val="none"/>
          <w:lang w:val="en-US" w:eastAsia="zh-CN"/>
        </w:rPr>
        <w:t>6</w:t>
      </w:r>
    </w:p>
    <w:p>
      <w:pPr>
        <w:ind w:right="560"/>
        <w:jc w:val="center"/>
        <w:rPr>
          <w:rFonts w:ascii="宋体" w:hAnsi="宋体" w:eastAsia="宋体"/>
          <w:b/>
          <w:color w:val="000000"/>
          <w:sz w:val="44"/>
          <w:highlight w:val="none"/>
        </w:rPr>
      </w:pPr>
      <w:r>
        <w:rPr>
          <w:rFonts w:hint="eastAsia" w:ascii="方正小标宋简体" w:hAnsi="方正小标宋简体" w:eastAsia="方正小标宋简体" w:cs="方正小标宋简体"/>
          <w:bCs/>
          <w:color w:val="000000"/>
          <w:sz w:val="44"/>
          <w:highlight w:val="none"/>
        </w:rPr>
        <w:t>202</w:t>
      </w:r>
      <w:r>
        <w:rPr>
          <w:rFonts w:hint="eastAsia" w:ascii="方正小标宋简体" w:hAnsi="方正小标宋简体" w:eastAsia="方正小标宋简体" w:cs="方正小标宋简体"/>
          <w:bCs/>
          <w:color w:val="000000"/>
          <w:sz w:val="44"/>
          <w:highlight w:val="none"/>
          <w:lang w:val="en-US" w:eastAsia="zh-CN"/>
        </w:rPr>
        <w:t>5</w:t>
      </w:r>
      <w:r>
        <w:rPr>
          <w:rFonts w:hint="eastAsia" w:ascii="方正小标宋简体" w:hAnsi="方正小标宋简体" w:eastAsia="方正小标宋简体" w:cs="方正小标宋简体"/>
          <w:bCs/>
          <w:color w:val="000000"/>
          <w:sz w:val="44"/>
          <w:highlight w:val="none"/>
        </w:rPr>
        <w:t>年医疗美容机构国家随机监督抽查汇总表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93"/>
        <w:gridCol w:w="680"/>
        <w:gridCol w:w="808"/>
        <w:gridCol w:w="856"/>
        <w:gridCol w:w="873"/>
        <w:gridCol w:w="745"/>
        <w:gridCol w:w="637"/>
        <w:gridCol w:w="717"/>
        <w:gridCol w:w="870"/>
        <w:gridCol w:w="944"/>
        <w:gridCol w:w="839"/>
        <w:gridCol w:w="964"/>
        <w:gridCol w:w="628"/>
        <w:gridCol w:w="1012"/>
        <w:gridCol w:w="845"/>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单位</w:t>
            </w:r>
          </w:p>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类别</w:t>
            </w:r>
          </w:p>
        </w:tc>
        <w:tc>
          <w:tcPr>
            <w:tcW w:w="27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辖区内机构总数</w:t>
            </w:r>
          </w:p>
        </w:tc>
        <w:tc>
          <w:tcPr>
            <w:tcW w:w="23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检查机构数</w:t>
            </w:r>
          </w:p>
        </w:tc>
        <w:tc>
          <w:tcPr>
            <w:tcW w:w="2901" w:type="pct"/>
            <w:gridSpan w:val="10"/>
            <w:tcBorders>
              <w:top w:val="single" w:color="auto" w:sz="4" w:space="0"/>
              <w:left w:val="single" w:color="auto" w:sz="4" w:space="0"/>
              <w:right w:val="single" w:color="auto" w:sz="4" w:space="0"/>
            </w:tcBorders>
            <w:noWrap w:val="0"/>
            <w:vAlign w:val="center"/>
          </w:tcPr>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不合格情况</w:t>
            </w:r>
          </w:p>
        </w:tc>
        <w:tc>
          <w:tcPr>
            <w:tcW w:w="1153" w:type="pct"/>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79"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39" w:type="pct"/>
            <w:vMerge w:val="continue"/>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医疗美容机构执业资质管理不符合要求机构数</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未按照备案的医疗美容项目级别开展医疗美容服务机构数</w:t>
            </w:r>
          </w:p>
        </w:tc>
        <w:tc>
          <w:tcPr>
            <w:tcW w:w="30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使用非卫生技术人员开展医疗美容服务机构数</w:t>
            </w:r>
          </w:p>
        </w:tc>
        <w:tc>
          <w:tcPr>
            <w:tcW w:w="26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执业人员资格管理不符合要求机构数</w:t>
            </w:r>
          </w:p>
        </w:tc>
        <w:tc>
          <w:tcPr>
            <w:tcW w:w="22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医师管理不符合要求机构数</w:t>
            </w:r>
          </w:p>
        </w:tc>
        <w:tc>
          <w:tcPr>
            <w:tcW w:w="25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护士管理不符合要求机构数</w:t>
            </w:r>
          </w:p>
        </w:tc>
        <w:tc>
          <w:tcPr>
            <w:tcW w:w="30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药物管理不符合要求机构数</w:t>
            </w: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医疗器械管理不符合要求机构数</w:t>
            </w:r>
          </w:p>
        </w:tc>
        <w:tc>
          <w:tcPr>
            <w:tcW w:w="295"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医疗美容广告发布管理不符合要求机构数</w:t>
            </w:r>
          </w:p>
        </w:tc>
        <w:tc>
          <w:tcPr>
            <w:tcW w:w="33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医疗文书管理不符合要求机构数</w:t>
            </w:r>
          </w:p>
        </w:tc>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查处案件数</w:t>
            </w: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罚没款金额（万元）</w:t>
            </w:r>
          </w:p>
        </w:tc>
        <w:tc>
          <w:tcPr>
            <w:tcW w:w="29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吊销执业机构许可证机构数</w:t>
            </w:r>
          </w:p>
        </w:tc>
        <w:tc>
          <w:tcPr>
            <w:tcW w:w="27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吊销人员资格证机构数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医疗美容机构</w:t>
            </w:r>
          </w:p>
        </w:tc>
        <w:tc>
          <w:tcPr>
            <w:tcW w:w="27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left"/>
              <w:rPr>
                <w:rFonts w:hint="eastAsia" w:ascii="仿宋" w:hAnsi="仿宋" w:eastAsia="仿宋" w:cs="仿宋"/>
                <w:snapToGrid w:val="0"/>
                <w:color w:val="000000"/>
                <w:kern w:val="0"/>
                <w:szCs w:val="21"/>
                <w:highlight w:val="none"/>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0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snapToGrid w:val="0"/>
                <w:color w:val="000000"/>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0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95"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3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9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7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内设医疗美容科室的医疗机构</w:t>
            </w:r>
          </w:p>
        </w:tc>
        <w:tc>
          <w:tcPr>
            <w:tcW w:w="27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left"/>
              <w:rPr>
                <w:rFonts w:hint="eastAsia" w:ascii="仿宋" w:hAnsi="仿宋" w:eastAsia="仿宋" w:cs="仿宋"/>
                <w:snapToGrid w:val="0"/>
                <w:color w:val="000000"/>
                <w:kern w:val="0"/>
                <w:szCs w:val="21"/>
                <w:highlight w:val="none"/>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0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snapToGrid w:val="0"/>
                <w:color w:val="000000"/>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0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95"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3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9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7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r>
              <w:rPr>
                <w:rFonts w:hint="eastAsia" w:ascii="仿宋" w:hAnsi="仿宋" w:eastAsia="仿宋" w:cs="仿宋"/>
                <w:snapToGrid w:val="0"/>
                <w:color w:val="000000"/>
                <w:kern w:val="0"/>
                <w:szCs w:val="21"/>
                <w:highlight w:val="none"/>
              </w:rPr>
              <w:t>合计</w:t>
            </w:r>
          </w:p>
        </w:tc>
        <w:tc>
          <w:tcPr>
            <w:tcW w:w="27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8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left"/>
              <w:rPr>
                <w:rFonts w:hint="eastAsia" w:ascii="仿宋" w:hAnsi="仿宋" w:eastAsia="仿宋" w:cs="仿宋"/>
                <w:snapToGrid w:val="0"/>
                <w:color w:val="000000"/>
                <w:kern w:val="0"/>
                <w:szCs w:val="21"/>
                <w:highlight w:val="none"/>
              </w:rPr>
            </w:pPr>
          </w:p>
        </w:tc>
        <w:tc>
          <w:tcPr>
            <w:tcW w:w="30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0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snapToGrid w:val="0"/>
                <w:color w:val="000000"/>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0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95"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3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21"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97"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c>
          <w:tcPr>
            <w:tcW w:w="279" w:type="pc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snapToGrid w:val="0"/>
                <w:color w:val="000000"/>
                <w:kern w:val="0"/>
                <w:szCs w:val="21"/>
                <w:highlight w:val="none"/>
              </w:rPr>
            </w:pPr>
          </w:p>
        </w:tc>
      </w:tr>
    </w:tbl>
    <w:p>
      <w:pPr>
        <w:rPr>
          <w:rFonts w:ascii="黑体" w:hAnsi="黑体" w:eastAsia="黑体"/>
          <w:color w:val="000000"/>
          <w:highlight w:val="none"/>
        </w:rPr>
      </w:pPr>
      <w:r>
        <w:rPr>
          <w:rFonts w:ascii="黑体" w:hAnsi="黑体" w:eastAsia="黑体"/>
          <w:color w:val="000000"/>
          <w:highlight w:val="none"/>
        </w:rPr>
        <w:br w:type="page"/>
      </w:r>
      <w:r>
        <w:rPr>
          <w:rFonts w:hint="eastAsia" w:ascii="黑体" w:hAnsi="黑体" w:eastAsia="黑体"/>
          <w:color w:val="000000"/>
          <w:sz w:val="32"/>
          <w:szCs w:val="32"/>
          <w:highlight w:val="none"/>
        </w:rPr>
        <w:t>附表</w:t>
      </w:r>
      <w:r>
        <w:rPr>
          <w:rFonts w:hint="eastAsia" w:ascii="黑体" w:hAnsi="黑体" w:eastAsia="黑体"/>
          <w:color w:val="000000"/>
          <w:sz w:val="32"/>
          <w:szCs w:val="32"/>
          <w:highlight w:val="none"/>
          <w:lang w:val="en-US" w:eastAsia="zh-CN"/>
        </w:rPr>
        <w:t>7</w:t>
      </w:r>
      <w:r>
        <w:rPr>
          <w:rFonts w:hint="eastAsia" w:ascii="黑体" w:hAnsi="黑体" w:eastAsia="黑体"/>
          <w:color w:val="000000"/>
          <w:sz w:val="32"/>
          <w:szCs w:val="32"/>
          <w:highlight w:val="none"/>
        </w:rPr>
        <w:t xml:space="preserve">  </w:t>
      </w:r>
      <w:r>
        <w:rPr>
          <w:rFonts w:hint="eastAsia" w:ascii="黑体" w:hAnsi="黑体" w:eastAsia="黑体"/>
          <w:color w:val="000000"/>
          <w:highlight w:val="none"/>
        </w:rPr>
        <w:t xml:space="preserve">            </w:t>
      </w:r>
    </w:p>
    <w:p>
      <w:pPr>
        <w:ind w:right="560"/>
        <w:jc w:val="center"/>
        <w:rPr>
          <w:rFonts w:hint="eastAsia" w:ascii="方正小标宋简体" w:hAnsi="方正小标宋简体" w:eastAsia="方正小标宋简体" w:cs="方正小标宋简体"/>
          <w:bCs/>
          <w:color w:val="000000"/>
          <w:sz w:val="44"/>
          <w:highlight w:val="none"/>
        </w:rPr>
      </w:pPr>
      <w:r>
        <w:rPr>
          <w:rFonts w:hint="eastAsia" w:ascii="方正小标宋简体" w:hAnsi="方正小标宋简体" w:eastAsia="方正小标宋简体" w:cs="方正小标宋简体"/>
          <w:bCs/>
          <w:color w:val="000000"/>
          <w:sz w:val="44"/>
          <w:highlight w:val="none"/>
        </w:rPr>
        <w:t>202</w:t>
      </w:r>
      <w:r>
        <w:rPr>
          <w:rFonts w:hint="eastAsia" w:ascii="方正小标宋简体" w:hAnsi="方正小标宋简体" w:eastAsia="方正小标宋简体" w:cs="方正小标宋简体"/>
          <w:bCs/>
          <w:color w:val="000000"/>
          <w:sz w:val="44"/>
          <w:highlight w:val="none"/>
          <w:lang w:val="en-US" w:eastAsia="zh-CN"/>
        </w:rPr>
        <w:t>5</w:t>
      </w:r>
      <w:r>
        <w:rPr>
          <w:rFonts w:hint="eastAsia" w:ascii="方正小标宋简体" w:hAnsi="方正小标宋简体" w:eastAsia="方正小标宋简体" w:cs="方正小标宋简体"/>
          <w:bCs/>
          <w:color w:val="000000"/>
          <w:sz w:val="44"/>
          <w:highlight w:val="none"/>
        </w:rPr>
        <w:t>年母婴保健技术服务机构国家随机监督抽查工作计划表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4"/>
        <w:gridCol w:w="1200"/>
        <w:gridCol w:w="917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6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监督检查对象</w:t>
            </w:r>
          </w:p>
        </w:tc>
        <w:tc>
          <w:tcPr>
            <w:tcW w:w="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抽检比例</w:t>
            </w:r>
          </w:p>
        </w:tc>
        <w:tc>
          <w:tcPr>
            <w:tcW w:w="91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检查内容</w:t>
            </w:r>
          </w:p>
        </w:tc>
        <w:tc>
          <w:tcPr>
            <w:tcW w:w="13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妇幼保健机构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line="3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50%</w:t>
            </w:r>
          </w:p>
        </w:tc>
        <w:tc>
          <w:tcPr>
            <w:tcW w:w="9179"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jc w:val="both"/>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1.机构及人员资质情况。开展母婴保健技术服务、人类辅助生殖技术服务、设置人类精子库的机构执业资质和人员执业资格情况。</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jc w:val="both"/>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 等医疗文书是否符合相关规定；是否设置禁止“两非”的警示标志；是否依法发布母婴保健技术服务广告。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jc w:val="both"/>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jc w:val="both"/>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right="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lang w:val="en-US" w:eastAsia="zh-CN" w:bidi="ar"/>
              </w:rPr>
              <w:t>5. 出生医学证明管理检查。是否建立并执行空白证件管 理、人员管理、印章管理、废证管理、信息管理、档案管理、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tc>
        <w:tc>
          <w:tcPr>
            <w:tcW w:w="1389"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N/>
              <w:bidi w:val="0"/>
              <w:adjustRightInd/>
              <w:snapToGrid/>
              <w:spacing w:line="300" w:lineRule="exac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N/>
              <w:bidi w:val="0"/>
              <w:adjustRightInd/>
              <w:snapToGrid/>
              <w:spacing w:line="300" w:lineRule="exac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N/>
              <w:bidi w:val="0"/>
              <w:adjustRightInd/>
              <w:snapToGrid/>
              <w:spacing w:line="3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3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1674"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其他医疗、保健机构</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50%</w:t>
            </w:r>
          </w:p>
        </w:tc>
        <w:tc>
          <w:tcPr>
            <w:tcW w:w="91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1"/>
                <w:highlight w:val="none"/>
              </w:rPr>
            </w:pPr>
          </w:p>
        </w:tc>
        <w:tc>
          <w:tcPr>
            <w:tcW w:w="1389"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color w:val="000000"/>
                <w:szCs w:val="21"/>
                <w:highlight w:val="none"/>
              </w:rPr>
            </w:pPr>
          </w:p>
        </w:tc>
      </w:tr>
    </w:tbl>
    <w:p>
      <w:pPr>
        <w:spacing w:line="560" w:lineRule="exact"/>
        <w:jc w:val="left"/>
        <w:rPr>
          <w:rFonts w:hint="eastAsia" w:ascii="宋体" w:hAnsi="宋体" w:eastAsia="宋体" w:cs="宋体"/>
          <w:color w:val="000000"/>
          <w:sz w:val="32"/>
          <w:szCs w:val="32"/>
          <w:highlight w:val="none"/>
        </w:rPr>
        <w:sectPr>
          <w:headerReference r:id="rId6" w:type="default"/>
          <w:footerReference r:id="rId7" w:type="default"/>
          <w:pgSz w:w="16838" w:h="11905" w:orient="landscape"/>
          <w:pgMar w:top="1134" w:right="1701" w:bottom="1474" w:left="1134" w:header="850" w:footer="992" w:gutter="0"/>
          <w:pgNumType w:fmt="numberInDash"/>
          <w:cols w:space="720" w:num="1"/>
          <w:rtlGutter w:val="0"/>
          <w:docGrid w:type="lines" w:linePitch="442" w:charSpace="0"/>
        </w:sectPr>
      </w:pPr>
    </w:p>
    <w:p>
      <w:pPr>
        <w:spacing w:line="560" w:lineRule="exact"/>
        <w:jc w:val="left"/>
        <w:rPr>
          <w:rFonts w:ascii="黑体" w:hAnsi="黑体" w:eastAsia="黑体"/>
          <w:color w:val="000000"/>
          <w:highlight w:val="none"/>
        </w:rPr>
      </w:pPr>
      <w:r>
        <w:rPr>
          <w:rFonts w:hint="eastAsia" w:ascii="黑体" w:hAnsi="黑体" w:eastAsia="黑体"/>
          <w:color w:val="000000"/>
          <w:sz w:val="32"/>
          <w:szCs w:val="32"/>
          <w:highlight w:val="none"/>
        </w:rPr>
        <w:t>附表</w:t>
      </w:r>
      <w:r>
        <w:rPr>
          <w:rFonts w:hint="eastAsia" w:ascii="黑体" w:hAnsi="黑体" w:eastAsia="黑体"/>
          <w:color w:val="000000"/>
          <w:sz w:val="32"/>
          <w:szCs w:val="32"/>
          <w:highlight w:val="none"/>
          <w:lang w:val="en-US" w:eastAsia="zh-CN"/>
        </w:rPr>
        <w:t>8</w:t>
      </w:r>
      <w:r>
        <w:rPr>
          <w:rFonts w:hint="eastAsia" w:ascii="黑体" w:hAnsi="黑体" w:eastAsia="黑体"/>
          <w:color w:val="000000"/>
          <w:sz w:val="32"/>
          <w:szCs w:val="32"/>
          <w:highlight w:val="none"/>
        </w:rPr>
        <w:t xml:space="preserve"> </w:t>
      </w:r>
      <w:r>
        <w:rPr>
          <w:rFonts w:hint="eastAsia" w:ascii="黑体" w:hAnsi="黑体" w:eastAsia="黑体"/>
          <w:color w:val="000000"/>
          <w:highlight w:val="none"/>
        </w:rPr>
        <w:t xml:space="preserve">    </w:t>
      </w:r>
    </w:p>
    <w:p>
      <w:pPr>
        <w:spacing w:line="360" w:lineRule="auto"/>
        <w:jc w:val="center"/>
        <w:rPr>
          <w:rFonts w:ascii="方正小标宋简体" w:hAnsi="方正小标宋简体" w:eastAsia="方正小标宋简体" w:cs="方正小标宋简体"/>
          <w:bCs/>
          <w:color w:val="000000"/>
          <w:sz w:val="44"/>
          <w:highlight w:val="none"/>
        </w:rPr>
      </w:pPr>
      <w:r>
        <w:rPr>
          <w:rFonts w:hint="eastAsia" w:ascii="方正小标宋简体" w:hAnsi="方正小标宋简体" w:eastAsia="方正小标宋简体" w:cs="方正小标宋简体"/>
          <w:bCs/>
          <w:color w:val="000000"/>
          <w:sz w:val="44"/>
          <w:highlight w:val="none"/>
        </w:rPr>
        <w:t>202</w:t>
      </w:r>
      <w:r>
        <w:rPr>
          <w:rFonts w:hint="eastAsia" w:ascii="方正小标宋简体" w:hAnsi="方正小标宋简体" w:eastAsia="方正小标宋简体" w:cs="方正小标宋简体"/>
          <w:bCs/>
          <w:color w:val="000000"/>
          <w:sz w:val="44"/>
          <w:highlight w:val="none"/>
          <w:lang w:val="en-US" w:eastAsia="zh-CN"/>
        </w:rPr>
        <w:t>5</w:t>
      </w:r>
      <w:r>
        <w:rPr>
          <w:rFonts w:hint="eastAsia" w:ascii="方正小标宋简体" w:hAnsi="方正小标宋简体" w:eastAsia="方正小标宋简体" w:cs="方正小标宋简体"/>
          <w:bCs/>
          <w:color w:val="000000"/>
          <w:sz w:val="44"/>
          <w:highlight w:val="none"/>
        </w:rPr>
        <w:t>年母婴保健技术服务机构国家随机监督抽查汇总表</w:t>
      </w:r>
    </w:p>
    <w:tbl>
      <w:tblPr>
        <w:tblStyle w:val="10"/>
        <w:tblW w:w="14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68"/>
        <w:gridCol w:w="416"/>
        <w:gridCol w:w="548"/>
        <w:gridCol w:w="428"/>
        <w:gridCol w:w="527"/>
        <w:gridCol w:w="481"/>
        <w:gridCol w:w="550"/>
        <w:gridCol w:w="572"/>
        <w:gridCol w:w="538"/>
        <w:gridCol w:w="550"/>
        <w:gridCol w:w="572"/>
        <w:gridCol w:w="516"/>
        <w:gridCol w:w="538"/>
        <w:gridCol w:w="538"/>
        <w:gridCol w:w="550"/>
        <w:gridCol w:w="538"/>
        <w:gridCol w:w="515"/>
        <w:gridCol w:w="561"/>
        <w:gridCol w:w="584"/>
        <w:gridCol w:w="504"/>
        <w:gridCol w:w="550"/>
        <w:gridCol w:w="561"/>
        <w:gridCol w:w="561"/>
        <w:gridCol w:w="355"/>
        <w:gridCol w:w="355"/>
        <w:gridCol w:w="423"/>
        <w:gridCol w:w="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单位</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类别</w:t>
            </w:r>
          </w:p>
        </w:tc>
        <w:tc>
          <w:tcPr>
            <w:tcW w:w="3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辖区内单位总数</w:t>
            </w:r>
          </w:p>
        </w:tc>
        <w:tc>
          <w:tcPr>
            <w:tcW w:w="4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检查单位数</w:t>
            </w:r>
          </w:p>
        </w:tc>
        <w:tc>
          <w:tcPr>
            <w:tcW w:w="11282" w:type="dxa"/>
            <w:gridSpan w:val="2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不合格情况</w:t>
            </w:r>
          </w:p>
        </w:tc>
        <w:tc>
          <w:tcPr>
            <w:tcW w:w="1477"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p>
        </w:tc>
        <w:tc>
          <w:tcPr>
            <w:tcW w:w="3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p>
        </w:tc>
        <w:tc>
          <w:tcPr>
            <w:tcW w:w="4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机构及人员资质情况</w:t>
            </w:r>
          </w:p>
        </w:tc>
        <w:tc>
          <w:tcPr>
            <w:tcW w:w="7546"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法律法规执行情况</w:t>
            </w:r>
          </w:p>
        </w:tc>
        <w:tc>
          <w:tcPr>
            <w:tcW w:w="27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制度建立情况</w:t>
            </w:r>
          </w:p>
        </w:tc>
        <w:tc>
          <w:tcPr>
            <w:tcW w:w="355"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查处案件数</w:t>
            </w:r>
          </w:p>
        </w:tc>
        <w:tc>
          <w:tcPr>
            <w:tcW w:w="355"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罚没款金额（万元）</w:t>
            </w:r>
          </w:p>
        </w:tc>
        <w:tc>
          <w:tcPr>
            <w:tcW w:w="423"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吊销执业机构许可证单位数</w:t>
            </w:r>
          </w:p>
        </w:tc>
        <w:tc>
          <w:tcPr>
            <w:tcW w:w="344" w:type="dxa"/>
            <w:vMerge w:val="restart"/>
            <w:tcBorders>
              <w:top w:val="single" w:color="auto" w:sz="4" w:space="0"/>
              <w:left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p>
        </w:tc>
        <w:tc>
          <w:tcPr>
            <w:tcW w:w="3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p>
        </w:tc>
        <w:tc>
          <w:tcPr>
            <w:tcW w:w="4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p>
        </w:tc>
        <w:tc>
          <w:tcPr>
            <w:tcW w:w="54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机构执业资质管理不符合要求单位数</w:t>
            </w:r>
          </w:p>
        </w:tc>
        <w:tc>
          <w:tcPr>
            <w:tcW w:w="4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人员资格管理不符合要求单位数</w:t>
            </w:r>
          </w:p>
        </w:tc>
        <w:tc>
          <w:tcPr>
            <w:tcW w:w="5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机构未按照批准的业务范围和服务项目执业单位数</w:t>
            </w:r>
          </w:p>
        </w:tc>
        <w:tc>
          <w:tcPr>
            <w:tcW w:w="4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人员未按照批准的服务项目执业单位数</w:t>
            </w:r>
          </w:p>
        </w:tc>
        <w:tc>
          <w:tcPr>
            <w:tcW w:w="5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未按要求开展人工终止妊娠手术进行登记查验单位数</w:t>
            </w:r>
          </w:p>
        </w:tc>
        <w:tc>
          <w:tcPr>
            <w:tcW w:w="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未按要求开展孕妇外周血胎儿游离DNA产前筛查与诊断单位数</w:t>
            </w:r>
          </w:p>
        </w:tc>
        <w:tc>
          <w:tcPr>
            <w:tcW w:w="5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未按要求开展人类辅助生殖技术查验身份证、结婚证单位数</w:t>
            </w:r>
          </w:p>
        </w:tc>
        <w:tc>
          <w:tcPr>
            <w:tcW w:w="5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未按要求开展产前诊断、人类辅助生殖技术等服务单位数</w:t>
            </w:r>
          </w:p>
        </w:tc>
        <w:tc>
          <w:tcPr>
            <w:tcW w:w="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开展相关技术服务未按要求遵守知情同意原则单位数</w:t>
            </w:r>
          </w:p>
        </w:tc>
        <w:tc>
          <w:tcPr>
            <w:tcW w:w="5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出具医学证明文件和诊断报告不符合相关规定单位数</w:t>
            </w:r>
          </w:p>
        </w:tc>
        <w:tc>
          <w:tcPr>
            <w:tcW w:w="5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病历、记录、档案等文书不符合相关规定单位数</w:t>
            </w:r>
          </w:p>
        </w:tc>
        <w:tc>
          <w:tcPr>
            <w:tcW w:w="5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未按要求设置禁止“两非”警示标志单位数</w:t>
            </w:r>
          </w:p>
        </w:tc>
        <w:tc>
          <w:tcPr>
            <w:tcW w:w="5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违法发布母婴保健技术服务广告单位数</w:t>
            </w:r>
          </w:p>
        </w:tc>
        <w:tc>
          <w:tcPr>
            <w:tcW w:w="5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存在买卖精子、买卖卵子、代孕等违法犯罪行为单位数</w:t>
            </w:r>
          </w:p>
        </w:tc>
        <w:tc>
          <w:tcPr>
            <w:tcW w:w="5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lang w:val="en-US" w:eastAsia="zh-CN"/>
              </w:rPr>
            </w:pPr>
            <w:r>
              <w:rPr>
                <w:rFonts w:hint="eastAsia" w:ascii="仿宋" w:hAnsi="仿宋" w:eastAsia="仿宋" w:cs="仿宋"/>
                <w:color w:val="000000"/>
                <w:w w:val="78"/>
                <w:sz w:val="18"/>
                <w:szCs w:val="18"/>
                <w:highlight w:val="none"/>
                <w:lang w:val="en-US" w:eastAsia="zh-CN"/>
              </w:rPr>
              <w:t>未按规定出具出生医学证明单位数</w:t>
            </w:r>
          </w:p>
        </w:tc>
        <w:tc>
          <w:tcPr>
            <w:tcW w:w="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lang w:val="en-US" w:eastAsia="zh-CN"/>
              </w:rPr>
            </w:pPr>
            <w:r>
              <w:rPr>
                <w:rFonts w:hint="eastAsia" w:ascii="仿宋" w:hAnsi="仿宋" w:eastAsia="仿宋" w:cs="仿宋"/>
                <w:color w:val="000000"/>
                <w:w w:val="78"/>
                <w:sz w:val="18"/>
                <w:szCs w:val="18"/>
                <w:highlight w:val="none"/>
                <w:lang w:eastAsia="zh-CN"/>
              </w:rPr>
              <w:t>存在买卖和伪造出生医学证明违法犯罪行为单位数</w:t>
            </w: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未建立禁止胎儿性别鉴定管理制度单位数</w:t>
            </w:r>
          </w:p>
        </w:tc>
        <w:tc>
          <w:tcPr>
            <w:tcW w:w="5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未建立人工终止妊娠登记查验制度单位数</w:t>
            </w:r>
          </w:p>
        </w:tc>
        <w:tc>
          <w:tcPr>
            <w:tcW w:w="5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未建立健全技术档案管理、转诊、追踪观察制度单位数</w:t>
            </w:r>
          </w:p>
        </w:tc>
        <w:tc>
          <w:tcPr>
            <w:tcW w:w="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未建立孕产妇死亡、婴儿死亡以及新生儿初生缺陷报告制度单位数</w:t>
            </w:r>
          </w:p>
        </w:tc>
        <w:tc>
          <w:tcPr>
            <w:tcW w:w="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20" w:lineRule="exact"/>
              <w:jc w:val="center"/>
              <w:textAlignment w:val="auto"/>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不具有保证技术服务安全和服务质量的其他管理制度单位数</w:t>
            </w:r>
          </w:p>
        </w:tc>
        <w:tc>
          <w:tcPr>
            <w:tcW w:w="355"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55"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23"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44" w:type="dxa"/>
            <w:vMerge w:val="continue"/>
            <w:tcBorders>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妇幼保健机构</w:t>
            </w:r>
          </w:p>
        </w:tc>
        <w:tc>
          <w:tcPr>
            <w:tcW w:w="36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4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2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8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1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5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5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4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其他医疗、保健机构</w:t>
            </w:r>
          </w:p>
        </w:tc>
        <w:tc>
          <w:tcPr>
            <w:tcW w:w="36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4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2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8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1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5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5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42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c>
          <w:tcPr>
            <w:tcW w:w="34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jc w:val="center"/>
              <w:rPr>
                <w:rFonts w:hint="eastAsia" w:ascii="仿宋" w:hAnsi="仿宋" w:eastAsia="仿宋" w:cs="仿宋"/>
                <w:color w:val="000000"/>
                <w:w w:val="78"/>
                <w:sz w:val="18"/>
                <w:szCs w:val="18"/>
                <w:highlight w:val="none"/>
              </w:rPr>
            </w:pPr>
            <w:r>
              <w:rPr>
                <w:rFonts w:hint="eastAsia" w:ascii="仿宋" w:hAnsi="仿宋" w:eastAsia="仿宋" w:cs="仿宋"/>
                <w:color w:val="000000"/>
                <w:w w:val="78"/>
                <w:sz w:val="18"/>
                <w:szCs w:val="18"/>
                <w:highlight w:val="none"/>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4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4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42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48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1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35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35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423"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c>
          <w:tcPr>
            <w:tcW w:w="34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rPr>
                <w:rFonts w:hint="eastAsia" w:ascii="仿宋" w:hAnsi="仿宋" w:eastAsia="仿宋" w:cs="仿宋"/>
                <w:color w:val="000000"/>
                <w:w w:val="78"/>
                <w:sz w:val="18"/>
                <w:szCs w:val="18"/>
                <w:highlight w:val="none"/>
              </w:rPr>
            </w:pPr>
          </w:p>
        </w:tc>
      </w:tr>
    </w:tbl>
    <w:p>
      <w:pPr>
        <w:spacing w:line="560" w:lineRule="exact"/>
        <w:jc w:val="left"/>
        <w:rPr>
          <w:rFonts w:hint="eastAsia" w:ascii="宋体" w:hAnsi="宋体" w:eastAsia="宋体" w:cs="宋体"/>
          <w:bCs/>
          <w:color w:val="000000"/>
          <w:sz w:val="32"/>
          <w:szCs w:val="32"/>
          <w:highlight w:val="none"/>
          <w:lang w:eastAsia="zh-CN"/>
        </w:rPr>
        <w:sectPr>
          <w:pgSz w:w="16838" w:h="11905" w:orient="landscape"/>
          <w:pgMar w:top="1587" w:right="2098" w:bottom="1474" w:left="1134" w:header="850" w:footer="992" w:gutter="0"/>
          <w:pgNumType w:fmt="numberInDash"/>
          <w:cols w:space="720" w:num="1"/>
          <w:rtlGutter w:val="0"/>
          <w:docGrid w:type="lines" w:linePitch="442" w:charSpace="0"/>
        </w:sectPr>
      </w:pPr>
    </w:p>
    <w:p>
      <w:pPr>
        <w:jc w:val="both"/>
        <w:rPr>
          <w:rFonts w:hint="eastAsia" w:ascii="仿宋_GB2312" w:hAnsi="宋体" w:eastAsia="仿宋_GB2312"/>
          <w:sz w:val="28"/>
          <w:szCs w:val="28"/>
          <w:u w:val="thick"/>
        </w:rPr>
      </w:pPr>
      <w:bookmarkStart w:id="0" w:name="_GoBack"/>
      <w:bookmarkEnd w:id="0"/>
    </w:p>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33" w:lineRule="auto"/>
      <w:ind w:left="7203"/>
      <w:rPr>
        <w:sz w:val="30"/>
        <w:szCs w:val="30"/>
      </w:rPr>
    </w:pPr>
    <w:r>
      <w:rPr>
        <w:sz w:val="3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33" w:lineRule="auto"/>
      <w:ind w:left="6684"/>
      <w:rPr>
        <w:sz w:val="31"/>
        <w:szCs w:val="31"/>
      </w:rPr>
    </w:pPr>
    <w:r>
      <w:rPr>
        <w:sz w:val="3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- 58 -</w:t>
                    </w:r>
                    <w:r>
                      <w:fldChar w:fldCharType="end"/>
                    </w:r>
                  </w:p>
                </w:txbxContent>
              </v:textbox>
            </v:shape>
          </w:pict>
        </mc:Fallback>
      </mc:AlternateContent>
    </w:r>
  </w:p>
  <w:p>
    <w:pPr>
      <w:rPr>
        <w:rFonts w:eastAsia="仿宋_GB2312"/>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- 70 -</w:t>
                    </w:r>
                    <w:r>
                      <w:fldChar w:fldCharType="end"/>
                    </w:r>
                  </w:p>
                </w:txbxContent>
              </v:textbox>
            </v:shape>
          </w:pict>
        </mc:Fallback>
      </mc:AlternateContent>
    </w:r>
  </w:p>
  <w:p>
    <w:pPr>
      <w:rPr>
        <w:rFonts w:eastAsia="仿宋_GB2312"/>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jdmZWZjYThiZjJkMmJlOGY4YTEwNDI4ZDY5MTcifQ=="/>
  </w:docVars>
  <w:rsids>
    <w:rsidRoot w:val="043B6234"/>
    <w:rsid w:val="00AA293E"/>
    <w:rsid w:val="014E364A"/>
    <w:rsid w:val="01BA1962"/>
    <w:rsid w:val="04291317"/>
    <w:rsid w:val="043B6234"/>
    <w:rsid w:val="068B0AD0"/>
    <w:rsid w:val="07423F26"/>
    <w:rsid w:val="09A23A06"/>
    <w:rsid w:val="0A1F6D25"/>
    <w:rsid w:val="0AAE6F90"/>
    <w:rsid w:val="0D63510D"/>
    <w:rsid w:val="125B745E"/>
    <w:rsid w:val="12AC02FB"/>
    <w:rsid w:val="14F319E7"/>
    <w:rsid w:val="1529043B"/>
    <w:rsid w:val="155B3298"/>
    <w:rsid w:val="16EF2637"/>
    <w:rsid w:val="19742C91"/>
    <w:rsid w:val="19F35F97"/>
    <w:rsid w:val="1C5105C6"/>
    <w:rsid w:val="1E1A430D"/>
    <w:rsid w:val="1F55236C"/>
    <w:rsid w:val="24A32EE9"/>
    <w:rsid w:val="273C3E88"/>
    <w:rsid w:val="27D43AE7"/>
    <w:rsid w:val="282E72D4"/>
    <w:rsid w:val="29AF319F"/>
    <w:rsid w:val="29EA6129"/>
    <w:rsid w:val="2A274C09"/>
    <w:rsid w:val="2E0E0D8E"/>
    <w:rsid w:val="30932D23"/>
    <w:rsid w:val="31D634F1"/>
    <w:rsid w:val="32865973"/>
    <w:rsid w:val="333511E1"/>
    <w:rsid w:val="33701470"/>
    <w:rsid w:val="34140EA1"/>
    <w:rsid w:val="364E3C48"/>
    <w:rsid w:val="36875285"/>
    <w:rsid w:val="3697531E"/>
    <w:rsid w:val="3AB06DAC"/>
    <w:rsid w:val="3BCD5D53"/>
    <w:rsid w:val="3E120171"/>
    <w:rsid w:val="401129D5"/>
    <w:rsid w:val="44BA5BF1"/>
    <w:rsid w:val="46EF29F5"/>
    <w:rsid w:val="46EF4DF0"/>
    <w:rsid w:val="473232DB"/>
    <w:rsid w:val="4B3A6FE7"/>
    <w:rsid w:val="4B6B4329"/>
    <w:rsid w:val="4DD56696"/>
    <w:rsid w:val="4DF47921"/>
    <w:rsid w:val="4E367E25"/>
    <w:rsid w:val="4F3F6172"/>
    <w:rsid w:val="51AE21F8"/>
    <w:rsid w:val="54587870"/>
    <w:rsid w:val="58A93CA4"/>
    <w:rsid w:val="5C8479FD"/>
    <w:rsid w:val="5E9652BC"/>
    <w:rsid w:val="5ECC7482"/>
    <w:rsid w:val="5EF57E34"/>
    <w:rsid w:val="5EFEF83C"/>
    <w:rsid w:val="5F51216C"/>
    <w:rsid w:val="5F7A5B4F"/>
    <w:rsid w:val="60314D40"/>
    <w:rsid w:val="6098238E"/>
    <w:rsid w:val="621E0696"/>
    <w:rsid w:val="63E13BDF"/>
    <w:rsid w:val="65F2521D"/>
    <w:rsid w:val="68A35AA2"/>
    <w:rsid w:val="6DE20BE5"/>
    <w:rsid w:val="6E0F4DD7"/>
    <w:rsid w:val="715B3142"/>
    <w:rsid w:val="730A583D"/>
    <w:rsid w:val="76871819"/>
    <w:rsid w:val="77184C61"/>
    <w:rsid w:val="7FFFA337"/>
    <w:rsid w:val="7FFFBAAA"/>
    <w:rsid w:val="D7EF52DE"/>
    <w:rsid w:val="DEAD4E41"/>
    <w:rsid w:val="EFF5D829"/>
    <w:rsid w:val="F75F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autoSpaceDE w:val="0"/>
      <w:autoSpaceDN w:val="0"/>
      <w:jc w:val="left"/>
    </w:pPr>
    <w:rPr>
      <w:rFonts w:ascii="方正仿宋简体" w:hAnsi="方正仿宋简体" w:eastAsia="方正仿宋简体" w:cs="方正仿宋简体"/>
      <w:kern w:val="0"/>
      <w:sz w:val="31"/>
      <w:szCs w:val="31"/>
      <w:lang w:val="zh-CN" w:bidi="zh-CN"/>
    </w:rPr>
  </w:style>
  <w:style w:type="paragraph" w:styleId="5">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basedOn w:val="12"/>
    <w:unhideWhenUsed/>
    <w:qFormat/>
    <w:uiPriority w:val="0"/>
    <w:rPr>
      <w:color w:val="0000FF"/>
      <w:u w:val="single"/>
    </w:rPr>
  </w:style>
  <w:style w:type="paragraph" w:styleId="15">
    <w:name w:val="List Paragraph"/>
    <w:basedOn w:val="1"/>
    <w:qFormat/>
    <w:uiPriority w:val="99"/>
    <w:pPr>
      <w:ind w:firstLine="420" w:firstLineChars="200"/>
    </w:pPr>
    <w:rPr>
      <w:rFonts w:eastAsia="仿宋_GB2312"/>
      <w:sz w:val="32"/>
      <w:szCs w:val="24"/>
    </w:rPr>
  </w:style>
  <w:style w:type="paragraph" w:customStyle="1" w:styleId="16">
    <w:name w:val="Table Paragraph"/>
    <w:basedOn w:val="1"/>
    <w:unhideWhenUsed/>
    <w:qFormat/>
    <w:uiPriority w:val="1"/>
    <w:rPr>
      <w:sz w:val="24"/>
      <w:szCs w:val="24"/>
    </w:rPr>
  </w:style>
  <w:style w:type="paragraph" w:customStyle="1" w:styleId="17">
    <w:name w:val="其他"/>
    <w:basedOn w:val="1"/>
    <w:qFormat/>
    <w:uiPriority w:val="0"/>
    <w:rPr>
      <w:rFonts w:ascii="宋体" w:hAnsi="宋体" w:eastAsia="宋体" w:cs="宋体"/>
      <w:color w:val="auto"/>
      <w:kern w:val="2"/>
      <w:sz w:val="20"/>
      <w:szCs w:val="20"/>
      <w:lang w:val="zh-CN" w:eastAsia="zh-CN" w:bidi="zh-CN"/>
    </w:rPr>
  </w:style>
  <w:style w:type="character" w:customStyle="1" w:styleId="18">
    <w:name w:val="font31"/>
    <w:basedOn w:val="12"/>
    <w:qFormat/>
    <w:uiPriority w:val="0"/>
    <w:rPr>
      <w:rFonts w:hint="eastAsia" w:ascii="宋体" w:hAnsi="宋体" w:eastAsia="宋体" w:cs="宋体"/>
      <w:b/>
      <w:bCs/>
      <w:color w:val="FF0000"/>
      <w:sz w:val="16"/>
      <w:szCs w:val="16"/>
      <w:u w:val="single"/>
    </w:rPr>
  </w:style>
  <w:style w:type="character" w:customStyle="1" w:styleId="19">
    <w:name w:val="font61"/>
    <w:basedOn w:val="12"/>
    <w:qFormat/>
    <w:uiPriority w:val="0"/>
    <w:rPr>
      <w:rFonts w:hint="eastAsia" w:ascii="宋体" w:hAnsi="宋体" w:eastAsia="宋体" w:cs="宋体"/>
      <w:color w:val="000000"/>
      <w:sz w:val="16"/>
      <w:szCs w:val="16"/>
      <w:u w:val="none"/>
    </w:rPr>
  </w:style>
  <w:style w:type="character" w:customStyle="1" w:styleId="20">
    <w:name w:val="font01"/>
    <w:basedOn w:val="12"/>
    <w:qFormat/>
    <w:uiPriority w:val="0"/>
    <w:rPr>
      <w:rFonts w:hint="eastAsia" w:ascii="仿宋_GB2312" w:eastAsia="仿宋_GB2312" w:cs="仿宋_GB2312"/>
      <w:color w:val="FF0000"/>
      <w:sz w:val="16"/>
      <w:szCs w:val="16"/>
      <w:u w:val="none"/>
    </w:rPr>
  </w:style>
  <w:style w:type="character" w:customStyle="1" w:styleId="21">
    <w:name w:val="font11"/>
    <w:basedOn w:val="12"/>
    <w:qFormat/>
    <w:uiPriority w:val="0"/>
    <w:rPr>
      <w:rFonts w:hint="eastAsia" w:ascii="宋体" w:hAnsi="宋体" w:eastAsia="宋体" w:cs="宋体"/>
      <w:color w:val="FF0000"/>
      <w:sz w:val="16"/>
      <w:szCs w:val="16"/>
      <w:u w:val="none"/>
    </w:rPr>
  </w:style>
  <w:style w:type="character" w:customStyle="1" w:styleId="22">
    <w:name w:val="font71"/>
    <w:basedOn w:val="12"/>
    <w:qFormat/>
    <w:uiPriority w:val="0"/>
    <w:rPr>
      <w:rFonts w:hint="eastAsia" w:ascii="仿宋_GB2312" w:eastAsia="仿宋_GB2312" w:cs="仿宋_GB2312"/>
      <w:color w:val="000000"/>
      <w:sz w:val="16"/>
      <w:szCs w:val="16"/>
      <w:u w:val="none"/>
      <w:vertAlign w:val="superscript"/>
    </w:rPr>
  </w:style>
  <w:style w:type="character" w:customStyle="1" w:styleId="23">
    <w:name w:val="font51"/>
    <w:basedOn w:val="12"/>
    <w:qFormat/>
    <w:uiPriority w:val="0"/>
    <w:rPr>
      <w:rFonts w:hint="eastAsia" w:ascii="仿宋_GB2312" w:eastAsia="仿宋_GB2312" w:cs="仿宋_GB2312"/>
      <w:color w:val="000000"/>
      <w:sz w:val="16"/>
      <w:szCs w:val="16"/>
      <w:u w:val="none"/>
    </w:rPr>
  </w:style>
  <w:style w:type="character" w:customStyle="1" w:styleId="24">
    <w:name w:val="font41"/>
    <w:basedOn w:val="12"/>
    <w:qFormat/>
    <w:uiPriority w:val="0"/>
    <w:rPr>
      <w:rFonts w:hint="eastAsia" w:ascii="宋体" w:hAnsi="宋体" w:eastAsia="宋体" w:cs="宋体"/>
      <w:color w:val="FFC000"/>
      <w:sz w:val="16"/>
      <w:szCs w:val="16"/>
      <w:u w:val="none"/>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2309</Words>
  <Characters>2488</Characters>
  <Lines>0</Lines>
  <Paragraphs>0</Paragraphs>
  <TotalTime>248</TotalTime>
  <ScaleCrop>false</ScaleCrop>
  <LinksUpToDate>false</LinksUpToDate>
  <CharactersWithSpaces>2539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2024-04-23T23:40:00Z</dcterms:created>
  <dc:creator>刘倩</dc:creator>
  <cp:lastModifiedBy>qtxs</cp:lastModifiedBy>
  <cp:lastPrinted>2025-07-09T02:12:00Z</cp:lastPrinted>
  <dcterms:modified xsi:type="dcterms:W3CDTF">2025-07-10T11:50:03Z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DCDA080396764FDD91FADCC4E3A09286_13</vt:lpwstr>
  </property>
  <property fmtid="{D5CDD505-2E9C-101B-9397-08002B2CF9AE}" pid="4" name="KSOTemplateDocerSaveRecord">
    <vt:lpwstr>eyJoZGlkIjoiNDBlYTg0M2UxYjIyNGVjMWNlNTVmZTdhOTY4ZGE5MjYiLCJ1c2VySWQiOiI5NTk0ODk2ODQifQ==</vt:lpwstr>
  </property>
</Properties>
</file>