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eastAsia="zh-CN"/>
        </w:rPr>
        <w:t>附件</w:t>
      </w:r>
      <w:r>
        <w:rPr>
          <w:rFonts w:hint="eastAsia" w:ascii="黑体" w:hAnsi="黑体" w:eastAsia="黑体" w:cs="黑体"/>
          <w:bCs/>
          <w:color w:val="00000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lang w:val="en-US" w:eastAsia="zh-CN"/>
        </w:rPr>
        <w:t>青铜峡市</w:t>
      </w:r>
      <w:r>
        <w:rPr>
          <w:rFonts w:hint="eastAsia" w:ascii="方正小标宋简体" w:hAnsi="方正小标宋简体" w:eastAsia="方正小标宋简体" w:cs="方正小标宋简体"/>
          <w:bCs/>
          <w:color w:val="000000"/>
          <w:sz w:val="44"/>
          <w:szCs w:val="44"/>
          <w:highlight w:val="none"/>
        </w:rPr>
        <w:t>2025年医疗卫生机构传染病防治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highlight w:val="none"/>
          <w:lang w:eastAsia="zh-CN"/>
        </w:rPr>
      </w:pPr>
      <w:r>
        <w:rPr>
          <w:rFonts w:hint="eastAsia" w:ascii="方正小标宋简体" w:hAnsi="方正小标宋简体" w:eastAsia="方正小标宋简体" w:cs="方正小标宋简体"/>
          <w:bCs/>
          <w:color w:val="000000"/>
          <w:sz w:val="44"/>
          <w:szCs w:val="44"/>
          <w:highlight w:val="none"/>
        </w:rPr>
        <w:t>国家随机监督抽查</w:t>
      </w:r>
      <w:r>
        <w:rPr>
          <w:rFonts w:hint="eastAsia" w:ascii="方正小标宋简体" w:hAnsi="方正小标宋简体" w:eastAsia="方正小标宋简体" w:cs="方正小标宋简体"/>
          <w:bCs/>
          <w:color w:val="000000"/>
          <w:sz w:val="44"/>
          <w:szCs w:val="44"/>
          <w:highlight w:val="none"/>
          <w:lang w:eastAsia="zh-CN"/>
        </w:rPr>
        <w:t>计划</w:t>
      </w:r>
    </w:p>
    <w:p>
      <w:pPr>
        <w:keepNext w:val="0"/>
        <w:keepLines w:val="0"/>
        <w:pageBreakBefore w:val="0"/>
        <w:kinsoku/>
        <w:wordWrap/>
        <w:overflowPunct/>
        <w:topLinePunct w:val="0"/>
        <w:autoSpaceDE/>
        <w:autoSpaceDN/>
        <w:bidi w:val="0"/>
        <w:adjustRightInd/>
        <w:snapToGrid/>
        <w:spacing w:line="240" w:lineRule="auto"/>
        <w:ind w:firstLine="662" w:firstLineChars="200"/>
        <w:textAlignment w:val="auto"/>
        <w:rPr>
          <w:rFonts w:eastAsia="黑体"/>
          <w:color w:val="00000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662" w:firstLineChars="200"/>
        <w:textAlignment w:val="auto"/>
        <w:rPr>
          <w:rFonts w:hint="default" w:eastAsia="黑体"/>
          <w:color w:val="000000"/>
          <w:sz w:val="32"/>
          <w:szCs w:val="32"/>
          <w:highlight w:val="none"/>
          <w:lang w:val="en-US" w:eastAsia="zh-CN"/>
        </w:rPr>
      </w:pPr>
      <w:r>
        <w:rPr>
          <w:rFonts w:eastAsia="黑体"/>
          <w:color w:val="000000"/>
          <w:sz w:val="32"/>
          <w:szCs w:val="32"/>
          <w:highlight w:val="none"/>
        </w:rPr>
        <w:t>一、监督检查对象</w:t>
      </w:r>
      <w:r>
        <w:rPr>
          <w:rFonts w:hint="eastAsia" w:eastAsia="黑体"/>
          <w:color w:val="000000"/>
          <w:sz w:val="32"/>
          <w:szCs w:val="32"/>
          <w:highlight w:val="none"/>
          <w:lang w:val="en-US" w:eastAsia="zh-CN"/>
        </w:rPr>
        <w:t>和范围</w:t>
      </w:r>
    </w:p>
    <w:p>
      <w:pPr>
        <w:keepNext w:val="0"/>
        <w:keepLines w:val="0"/>
        <w:pageBreakBefore w:val="0"/>
        <w:kinsoku/>
        <w:wordWrap/>
        <w:overflowPunct/>
        <w:topLinePunct w:val="0"/>
        <w:autoSpaceDE/>
        <w:autoSpaceDN/>
        <w:bidi w:val="0"/>
        <w:adjustRightInd/>
        <w:snapToGrid/>
        <w:spacing w:line="240" w:lineRule="auto"/>
        <w:ind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抽查辖区二级医院2家，分别是青铜峡市人民医院、青铜峡市中医医院；基层医疗机构（社区卫生服务中心/站、诊所、乡镇卫生院、村卫生室等）9家，分别是中山诊所、益民诊所、杏仁口腔诊所、丁继慧诊所、沈丽芳诊所、尚海玮口腔诊所、马寿亭诊所、段俊诊所、韵欣苑社区卫生服务站；疾病预防控制机构1家。其中对上一年度传染病防治分类监督综合评价为重点监督单位的100%检查。</w:t>
      </w:r>
    </w:p>
    <w:p>
      <w:pPr>
        <w:keepNext w:val="0"/>
        <w:keepLines w:val="0"/>
        <w:pageBreakBefore w:val="0"/>
        <w:kinsoku/>
        <w:wordWrap/>
        <w:overflowPunct/>
        <w:topLinePunct w:val="0"/>
        <w:autoSpaceDE/>
        <w:autoSpaceDN/>
        <w:bidi w:val="0"/>
        <w:adjustRightInd/>
        <w:snapToGrid/>
        <w:spacing w:line="240" w:lineRule="auto"/>
        <w:ind w:firstLine="662" w:firstLineChars="200"/>
        <w:textAlignment w:val="auto"/>
        <w:rPr>
          <w:rFonts w:ascii="黑体" w:eastAsia="黑体"/>
          <w:color w:val="000000"/>
          <w:sz w:val="32"/>
          <w:szCs w:val="32"/>
          <w:highlight w:val="none"/>
        </w:rPr>
      </w:pPr>
      <w:r>
        <w:rPr>
          <w:rFonts w:hint="eastAsia" w:ascii="黑体" w:eastAsia="黑体"/>
          <w:color w:val="000000"/>
          <w:sz w:val="32"/>
          <w:szCs w:val="32"/>
          <w:highlight w:val="none"/>
        </w:rPr>
        <w:t>二、监督检查内容</w:t>
      </w:r>
    </w:p>
    <w:p>
      <w:pPr>
        <w:keepNext w:val="0"/>
        <w:keepLines w:val="0"/>
        <w:pageBreakBefore w:val="0"/>
        <w:kinsoku/>
        <w:wordWrap/>
        <w:overflowPunct/>
        <w:topLinePunct w:val="0"/>
        <w:autoSpaceDE/>
        <w:autoSpaceDN/>
        <w:bidi w:val="0"/>
        <w:adjustRightInd/>
        <w:snapToGrid/>
        <w:spacing w:line="240" w:lineRule="auto"/>
        <w:ind w:firstLine="662" w:firstLineChars="20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rPr>
        <w:t>（一）预防接种管理情况。</w:t>
      </w:r>
      <w:r>
        <w:rPr>
          <w:rFonts w:hint="eastAsia" w:ascii="仿宋" w:hAnsi="仿宋" w:eastAsia="仿宋" w:cs="仿宋"/>
          <w:color w:val="000000"/>
          <w:sz w:val="32"/>
          <w:szCs w:val="32"/>
          <w:highlight w:val="none"/>
          <w:lang w:val="en-US" w:eastAsia="zh-CN"/>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HPV疫苗、狂犬疫苗等相关情况。</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eastAsia="仿宋_GB2312"/>
          <w:color w:val="000000"/>
          <w:sz w:val="32"/>
          <w:szCs w:val="32"/>
          <w:highlight w:val="none"/>
        </w:rPr>
      </w:pPr>
      <w:r>
        <w:rPr>
          <w:rFonts w:hint="eastAsia" w:ascii="楷体" w:hAnsi="楷体" w:eastAsia="楷体" w:cs="楷体"/>
          <w:b/>
          <w:bCs/>
          <w:color w:val="000000"/>
          <w:sz w:val="32"/>
          <w:szCs w:val="32"/>
          <w:highlight w:val="none"/>
        </w:rPr>
        <w:t>（二）传染病疫情报告情况。</w:t>
      </w:r>
      <w:r>
        <w:rPr>
          <w:rFonts w:hint="eastAsia" w:ascii="仿宋" w:hAnsi="仿宋" w:eastAsia="仿宋" w:cs="仿宋"/>
          <w:color w:val="000000"/>
          <w:sz w:val="32"/>
          <w:szCs w:val="32"/>
          <w:highlight w:val="none"/>
          <w:lang w:val="en-US" w:eastAsia="zh-CN"/>
        </w:rPr>
        <w:t>首诊负责制执行情况；建立传染病疫情报告工作制度情况；开展疫情报告管理自查情况；传染病疫情登记、报告卡填写情况；传染病相关数据自动采集、传染病报告卡自动生成情况等；是否存在瞒报、缓报、谎报传染病疫情情况。</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楷体" w:hAnsi="楷体" w:eastAsia="楷体" w:cs="楷体"/>
          <w:b/>
          <w:bCs/>
          <w:color w:val="000000"/>
          <w:sz w:val="32"/>
          <w:szCs w:val="32"/>
          <w:highlight w:val="none"/>
        </w:rPr>
        <w:t>（三）传染病疫情控制情况。</w:t>
      </w:r>
      <w:r>
        <w:rPr>
          <w:rFonts w:hint="eastAsia" w:ascii="仿宋" w:hAnsi="仿宋" w:eastAsia="仿宋" w:cs="仿宋"/>
          <w:color w:val="000000"/>
          <w:sz w:val="32"/>
          <w:szCs w:val="32"/>
          <w:highlight w:val="none"/>
          <w:lang w:val="en-US" w:eastAsia="zh-CN"/>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楷体" w:hAnsi="楷体" w:eastAsia="楷体" w:cs="楷体"/>
          <w:b/>
          <w:bCs/>
          <w:color w:val="000000"/>
          <w:sz w:val="32"/>
          <w:szCs w:val="32"/>
          <w:highlight w:val="none"/>
        </w:rPr>
        <w:t>（四）消毒隔离措施落实情况。</w:t>
      </w:r>
      <w:r>
        <w:rPr>
          <w:rFonts w:hint="eastAsia" w:ascii="仿宋" w:hAnsi="仿宋" w:eastAsia="仿宋" w:cs="仿宋"/>
          <w:color w:val="000000"/>
          <w:sz w:val="32"/>
          <w:szCs w:val="32"/>
          <w:highlight w:val="none"/>
          <w:lang w:val="en-US" w:eastAsia="zh-CN"/>
        </w:rPr>
        <w:t>建立消毒管理组织、制度情况；开展消毒与灭菌效果监测情况；消毒隔离知识培训情况；消毒产品进货检查验收情况；医疗器械一人一用一消毒或灭菌情况。二级以上医院以口腔科、医学美容科、血液透析室、手术室和内镜室为检查重点，若无相关科室的，可根据情况自行选择重点科室。一级医院和基层医疗机构以医院口腔科或口腔诊所为检查重点，若无相关科室的，可根据情况自行选择重点科室。</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rPr>
      </w:pPr>
      <w:r>
        <w:rPr>
          <w:rFonts w:hint="eastAsia" w:ascii="楷体" w:hAnsi="楷体" w:eastAsia="楷体" w:cs="楷体"/>
          <w:b/>
          <w:bCs/>
          <w:color w:val="000000"/>
          <w:sz w:val="32"/>
          <w:szCs w:val="32"/>
          <w:highlight w:val="none"/>
        </w:rPr>
        <w:t>（五）医疗废物处置情况。</w:t>
      </w:r>
      <w:r>
        <w:rPr>
          <w:rFonts w:hint="eastAsia" w:ascii="仿宋" w:hAnsi="仿宋" w:eastAsia="仿宋" w:cs="仿宋"/>
          <w:color w:val="000000"/>
          <w:sz w:val="32"/>
          <w:szCs w:val="32"/>
          <w:highlight w:val="none"/>
          <w:lang w:val="en-US" w:eastAsia="zh-CN"/>
        </w:rPr>
        <w:t>医疗废物分类收集情况；使用专用包装物及容器情况；医疗废物暂时贮存设施建立情况；医疗废物交接、运送、暂存及处置情况。</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rPr>
        <w:t>（六）病原微生物实验室生物安全管理情况。</w:t>
      </w:r>
      <w:r>
        <w:rPr>
          <w:rFonts w:hint="eastAsia" w:ascii="仿宋" w:hAnsi="仿宋" w:eastAsia="仿宋" w:cs="仿宋"/>
          <w:color w:val="000000"/>
          <w:sz w:val="32"/>
          <w:szCs w:val="32"/>
          <w:highlight w:val="none"/>
          <w:lang w:val="en-US" w:eastAsia="zh-CN"/>
        </w:rPr>
        <w:t>实验室取得批准或进行备案情况；从事实验活动的人员培训、考核情况；实验档案建立情况；实验结束将菌（毒）种或样本销毁或者送交保藏机构保藏情况。</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（七）监督抽检情况。</w:t>
      </w:r>
      <w:r>
        <w:rPr>
          <w:rFonts w:hint="eastAsia" w:ascii="仿宋" w:hAnsi="仿宋" w:eastAsia="仿宋" w:cs="仿宋"/>
          <w:color w:val="000000"/>
          <w:sz w:val="32"/>
          <w:szCs w:val="32"/>
          <w:highlight w:val="none"/>
          <w:lang w:val="en-US" w:eastAsia="zh-CN"/>
        </w:rPr>
        <w:t>医疗卫生机构传染病防治监督抽检2家。抽检项目根据上年度医疗机构消毒效果监测结果、医疗机构传染病防治分类监督综合评价结果确定，包括但不限于环境空气、物体表面、医务人员手、内镜、使用中消毒剂、治疗用水、医疗污水等。</w:t>
      </w:r>
    </w:p>
    <w:p>
      <w:pPr>
        <w:keepNext w:val="0"/>
        <w:keepLines w:val="0"/>
        <w:pageBreakBefore w:val="0"/>
        <w:kinsoku/>
        <w:wordWrap/>
        <w:overflowPunct/>
        <w:topLinePunct w:val="0"/>
        <w:autoSpaceDE/>
        <w:autoSpaceDN/>
        <w:bidi w:val="0"/>
        <w:adjustRightInd/>
        <w:snapToGrid/>
        <w:spacing w:line="240" w:lineRule="auto"/>
        <w:ind w:firstLine="662" w:firstLineChars="200"/>
        <w:textAlignment w:val="auto"/>
        <w:rPr>
          <w:rFonts w:eastAsia="黑体"/>
          <w:color w:val="000000"/>
          <w:sz w:val="32"/>
          <w:szCs w:val="24"/>
          <w:highlight w:val="none"/>
        </w:rPr>
      </w:pPr>
      <w:r>
        <w:rPr>
          <w:rFonts w:hint="eastAsia" w:eastAsia="黑体"/>
          <w:color w:val="000000"/>
          <w:sz w:val="32"/>
          <w:szCs w:val="24"/>
          <w:highlight w:val="none"/>
          <w:lang w:eastAsia="zh-CN"/>
        </w:rPr>
        <w:t>三</w:t>
      </w:r>
      <w:r>
        <w:rPr>
          <w:rFonts w:hint="eastAsia" w:eastAsia="黑体"/>
          <w:color w:val="000000"/>
          <w:sz w:val="32"/>
          <w:szCs w:val="24"/>
          <w:highlight w:val="none"/>
        </w:rPr>
        <w:t>、</w:t>
      </w:r>
      <w:r>
        <w:rPr>
          <w:rFonts w:eastAsia="黑体"/>
          <w:color w:val="000000"/>
          <w:sz w:val="32"/>
          <w:szCs w:val="24"/>
          <w:highlight w:val="none"/>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一）青铜峡市疾病预防控制中心（卫生监督所）要完善监督抽查底档数据，并将传染病防治国家随机监督抽查工作与医疗卫生机构传染病防治分类监督综合评价工作相结合，采取分类监督综合评价方式进行检查，将综合评价结果纳入日常管理措施中，与医疗机构不良行为记分、等级评审、校验等相衔接。对抽查中发现存在违法违规行为的单位或个人，依法依规严肃查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二）青铜峡市疾病预防控制中心（卫生监督所）要加强上报数据信息的审核，保证数据信息项目齐全、质量可靠，于2025年10月20日前完成医疗卫生机构传染病防治国家随机监督抽查工作任务和数据填报工作。6月10 日、11月10 日前报送阶段性总结、全年总结（带附表）。</w:t>
      </w:r>
    </w:p>
    <w:p>
      <w:pPr>
        <w:keepNext w:val="0"/>
        <w:keepLines w:val="0"/>
        <w:pageBreakBefore w:val="0"/>
        <w:widowControl/>
        <w:kinsoku/>
        <w:wordWrap/>
        <w:overflowPunct/>
        <w:topLinePunct w:val="0"/>
        <w:autoSpaceDE/>
        <w:autoSpaceDN/>
        <w:bidi w:val="0"/>
        <w:adjustRightInd/>
        <w:snapToGrid/>
        <w:spacing w:line="240" w:lineRule="auto"/>
        <w:ind w:firstLine="66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联系人：青铜峡市卫生健康局综合业务室   武静娴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highlight w:val="none"/>
          <w:lang w:val="en-US" w:eastAsia="zh-CN"/>
        </w:rPr>
        <w:t>电  话：</w:t>
      </w:r>
      <w:r>
        <w:rPr>
          <w:rFonts w:hint="eastAsia" w:ascii="仿宋" w:hAnsi="仿宋" w:eastAsia="仿宋" w:cs="仿宋"/>
          <w:sz w:val="32"/>
          <w:szCs w:val="32"/>
        </w:rPr>
        <w:t>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3626121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邮  箱：</w:t>
      </w:r>
      <w:r>
        <w:rPr>
          <w:rFonts w:hint="eastAsia" w:ascii="仿宋" w:hAnsi="仿宋" w:eastAsia="仿宋" w:cs="仿宋"/>
          <w:color w:val="000000"/>
          <w:sz w:val="32"/>
          <w:szCs w:val="32"/>
          <w:highlight w:val="none"/>
          <w:lang w:val="en-US" w:eastAsia="zh-CN"/>
        </w:rPr>
        <w:fldChar w:fldCharType="begin"/>
      </w:r>
      <w:r>
        <w:rPr>
          <w:rFonts w:hint="eastAsia" w:ascii="仿宋" w:hAnsi="仿宋" w:eastAsia="仿宋" w:cs="仿宋"/>
          <w:color w:val="000000"/>
          <w:sz w:val="32"/>
          <w:szCs w:val="32"/>
          <w:highlight w:val="none"/>
          <w:lang w:val="en-US" w:eastAsia="zh-CN"/>
        </w:rPr>
        <w:instrText xml:space="preserve"> HYPERLINK "mailto:nxwsjd_009@163.com" </w:instrText>
      </w:r>
      <w:r>
        <w:rPr>
          <w:rFonts w:hint="eastAsia" w:ascii="仿宋" w:hAnsi="仿宋" w:eastAsia="仿宋" w:cs="仿宋"/>
          <w:color w:val="000000"/>
          <w:sz w:val="32"/>
          <w:szCs w:val="32"/>
          <w:highlight w:val="none"/>
          <w:lang w:val="en-US" w:eastAsia="zh-CN"/>
        </w:rPr>
        <w:fldChar w:fldCharType="separate"/>
      </w:r>
      <w:r>
        <w:rPr>
          <w:rFonts w:hint="eastAsia" w:ascii="仿宋" w:hAnsi="仿宋" w:eastAsia="仿宋" w:cs="仿宋"/>
          <w:color w:val="000000"/>
          <w:sz w:val="32"/>
          <w:szCs w:val="32"/>
          <w:highlight w:val="none"/>
          <w:lang w:val="en-US" w:eastAsia="zh-CN"/>
        </w:rPr>
        <w:t>qtxswjjyzyg@163.com</w:t>
      </w:r>
      <w:r>
        <w:rPr>
          <w:rFonts w:hint="eastAsia" w:ascii="仿宋" w:hAnsi="仿宋" w:eastAsia="仿宋" w:cs="仿宋"/>
          <w:color w:val="000000"/>
          <w:sz w:val="32"/>
          <w:szCs w:val="32"/>
          <w:highlight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联系人：青铜峡市疾病预防控制中心（卫生监督所）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1986" w:firstLineChars="6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邱丽娟、史红娟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电  话：0953-3054183</w:t>
      </w:r>
    </w:p>
    <w:p>
      <w:pPr>
        <w:keepNext w:val="0"/>
        <w:keepLines w:val="0"/>
        <w:pageBreakBefore w:val="0"/>
        <w:kinsoku/>
        <w:wordWrap/>
        <w:overflowPunct/>
        <w:topLinePunct w:val="0"/>
        <w:autoSpaceDE/>
        <w:autoSpaceDN/>
        <w:bidi w:val="0"/>
        <w:adjustRightInd/>
        <w:snapToGrid/>
        <w:spacing w:line="560" w:lineRule="exact"/>
        <w:ind w:firstLine="662"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color w:val="000000"/>
          <w:sz w:val="32"/>
          <w:szCs w:val="32"/>
          <w:highlight w:val="none"/>
          <w:lang w:val="en-US" w:eastAsia="zh-CN"/>
        </w:rPr>
        <w:t>邮  箱：</w:t>
      </w:r>
      <w:r>
        <w:rPr>
          <w:rFonts w:hint="eastAsia" w:ascii="仿宋" w:hAnsi="仿宋" w:eastAsia="仿宋" w:cs="仿宋"/>
          <w:b w:val="0"/>
          <w:bCs w:val="0"/>
          <w:color w:val="000000"/>
          <w:sz w:val="32"/>
          <w:szCs w:val="32"/>
          <w:lang w:val="en-US" w:eastAsia="zh-CN"/>
        </w:rPr>
        <w:fldChar w:fldCharType="begin"/>
      </w:r>
      <w:r>
        <w:rPr>
          <w:rFonts w:hint="eastAsia" w:ascii="仿宋" w:hAnsi="仿宋" w:eastAsia="仿宋" w:cs="仿宋"/>
          <w:b w:val="0"/>
          <w:bCs w:val="0"/>
          <w:color w:val="000000"/>
          <w:sz w:val="32"/>
          <w:szCs w:val="32"/>
          <w:lang w:val="en-US" w:eastAsia="zh-CN"/>
        </w:rPr>
        <w:instrText xml:space="preserve"> HYPERLINK "mailto:qtxjk309@163.com" </w:instrText>
      </w:r>
      <w:r>
        <w:rPr>
          <w:rFonts w:hint="eastAsia" w:ascii="仿宋" w:hAnsi="仿宋" w:eastAsia="仿宋" w:cs="仿宋"/>
          <w:b w:val="0"/>
          <w:bCs w:val="0"/>
          <w:color w:val="000000"/>
          <w:sz w:val="32"/>
          <w:szCs w:val="32"/>
          <w:lang w:val="en-US" w:eastAsia="zh-CN"/>
        </w:rPr>
        <w:fldChar w:fldCharType="separate"/>
      </w:r>
      <w:r>
        <w:rPr>
          <w:rFonts w:hint="eastAsia" w:ascii="仿宋" w:hAnsi="仿宋" w:eastAsia="仿宋" w:cs="仿宋"/>
          <w:b w:val="0"/>
          <w:bCs w:val="0"/>
          <w:color w:val="000000"/>
          <w:sz w:val="32"/>
          <w:szCs w:val="32"/>
          <w:lang w:val="en-US" w:eastAsia="zh-CN"/>
        </w:rPr>
        <w:t>qtxjk309@163.com</w:t>
      </w:r>
      <w:r>
        <w:rPr>
          <w:rFonts w:hint="eastAsia" w:ascii="仿宋" w:hAnsi="仿宋" w:eastAsia="仿宋" w:cs="仿宋"/>
          <w:b w:val="0"/>
          <w:bCs w:val="0"/>
          <w:color w:val="000000"/>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附表：1.2025年医疗卫生机构传染病防治国家随机监督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55" w:firstLineChars="5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抽查汇总表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2.2025年医疗卫生机构传染病防治国家随机监督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1655" w:firstLineChars="5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抽检汇总表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3.2025年医疗卫生机构传染病防治国家随机监督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1655" w:firstLineChars="5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抽查案件查处汇总表</w:t>
      </w:r>
    </w:p>
    <w:p>
      <w:pPr>
        <w:jc w:val="left"/>
        <w:rPr>
          <w:rFonts w:eastAsia="黑体"/>
          <w:color w:val="000000"/>
          <w:kern w:val="0"/>
          <w:sz w:val="32"/>
          <w:szCs w:val="32"/>
          <w:highlight w:val="none"/>
        </w:rPr>
      </w:pPr>
    </w:p>
    <w:p>
      <w:pPr>
        <w:jc w:val="left"/>
        <w:rPr>
          <w:rFonts w:eastAsia="黑体"/>
          <w:color w:val="000000"/>
          <w:kern w:val="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rtlGutter w:val="0"/>
          <w:docGrid w:type="linesAndChars" w:linePitch="579" w:charSpace="2278"/>
        </w:sectPr>
      </w:pPr>
    </w:p>
    <w:p>
      <w:pPr>
        <w:spacing w:line="590" w:lineRule="exact"/>
        <w:rPr>
          <w:rFonts w:eastAsia="黑体"/>
          <w:color w:val="000000"/>
          <w:sz w:val="32"/>
          <w:szCs w:val="32"/>
          <w:highlight w:val="none"/>
        </w:rPr>
      </w:pPr>
      <w:r>
        <w:rPr>
          <w:rFonts w:eastAsia="黑体"/>
          <w:color w:val="000000"/>
          <w:sz w:val="32"/>
          <w:szCs w:val="32"/>
          <w:highlight w:val="none"/>
        </w:rPr>
        <w:t>附表1</w:t>
      </w:r>
    </w:p>
    <w:p>
      <w:pPr>
        <w:jc w:val="center"/>
        <w:rPr>
          <w:rFonts w:eastAsia="方正小标宋简体"/>
          <w:bCs/>
          <w:color w:val="000000"/>
          <w:kern w:val="0"/>
          <w:sz w:val="44"/>
          <w:szCs w:val="44"/>
          <w:highlight w:val="none"/>
        </w:rPr>
      </w:pPr>
      <w:r>
        <w:rPr>
          <w:rFonts w:eastAsia="方正小标宋简体"/>
          <w:bCs/>
          <w:color w:val="000000"/>
          <w:kern w:val="0"/>
          <w:sz w:val="44"/>
          <w:szCs w:val="44"/>
          <w:highlight w:val="none"/>
        </w:rPr>
        <w:t>2025年医疗卫生机构传染病防治国家随机监督抽查汇总表</w:t>
      </w:r>
    </w:p>
    <w:p>
      <w:pP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 xml:space="preserve">           </w:t>
      </w:r>
    </w:p>
    <w:tbl>
      <w:tblPr>
        <w:tblStyle w:val="10"/>
        <w:tblW w:w="15422"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620"/>
      </w:tblGrid>
      <w:tr>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3697"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监督评价结果</w:t>
            </w:r>
          </w:p>
        </w:tc>
      </w:tr>
      <w:tr>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监督类别</w:t>
            </w: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预防接种管理</w:t>
            </w:r>
          </w:p>
        </w:tc>
        <w:tc>
          <w:tcPr>
            <w:tcW w:w="3633"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法定传染病报告管理</w:t>
            </w:r>
          </w:p>
        </w:tc>
      </w:tr>
      <w:tr>
        <w:tblPrEx>
          <w:tblCellMar>
            <w:top w:w="0" w:type="dxa"/>
            <w:left w:w="0" w:type="dxa"/>
            <w:bottom w:w="0" w:type="dxa"/>
            <w:right w:w="0" w:type="dxa"/>
          </w:tblCellMar>
        </w:tblPrEx>
        <w:trPr>
          <w:trHeight w:val="9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116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r>
      <w:tr>
        <w:tblPrEx>
          <w:tblCellMar>
            <w:top w:w="0" w:type="dxa"/>
            <w:left w:w="0" w:type="dxa"/>
            <w:bottom w:w="0" w:type="dxa"/>
            <w:right w:w="0" w:type="dxa"/>
          </w:tblCellMar>
        </w:tblPrEx>
        <w:trPr>
          <w:trHeight w:val="452"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4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62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r>
      <w:tr>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医疗机构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基层</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r>
      <w:tr>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bl>
    <w:p>
      <w:pPr>
        <w:spacing w:line="590" w:lineRule="exact"/>
        <w:rPr>
          <w:rFonts w:eastAsia="黑体"/>
          <w:color w:val="000000"/>
          <w:kern w:val="0"/>
          <w:sz w:val="32"/>
          <w:szCs w:val="32"/>
          <w:highlight w:val="none"/>
        </w:rPr>
      </w:pPr>
      <w:r>
        <w:rPr>
          <w:rFonts w:eastAsia="黑体"/>
          <w:color w:val="000000"/>
          <w:sz w:val="32"/>
          <w:szCs w:val="32"/>
          <w:highlight w:val="none"/>
        </w:rPr>
        <w:t>附表1</w:t>
      </w:r>
      <w:r>
        <w:rPr>
          <w:rFonts w:eastAsia="黑体"/>
          <w:color w:val="000000"/>
          <w:kern w:val="0"/>
          <w:sz w:val="32"/>
          <w:szCs w:val="32"/>
          <w:highlight w:val="none"/>
        </w:rPr>
        <w:t xml:space="preserve"> 续</w:t>
      </w:r>
    </w:p>
    <w:p>
      <w:pPr>
        <w:spacing w:line="560" w:lineRule="exact"/>
        <w:jc w:val="center"/>
        <w:rPr>
          <w:rFonts w:eastAsia="仿宋_GB2312"/>
          <w:b/>
          <w:color w:val="000000"/>
          <w:kern w:val="0"/>
          <w:sz w:val="44"/>
          <w:szCs w:val="44"/>
          <w:highlight w:val="none"/>
        </w:rPr>
      </w:pPr>
      <w:r>
        <w:rPr>
          <w:rFonts w:eastAsia="方正小标宋简体"/>
          <w:bCs/>
          <w:color w:val="000000"/>
          <w:kern w:val="0"/>
          <w:sz w:val="44"/>
          <w:szCs w:val="44"/>
          <w:highlight w:val="none"/>
        </w:rPr>
        <w:t>2025年医疗卫生机构传染病防治国家随机监督抽查汇总表</w:t>
      </w:r>
    </w:p>
    <w:tbl>
      <w:tblPr>
        <w:tblStyle w:val="10"/>
        <w:tblW w:w="15309" w:type="dxa"/>
        <w:jc w:val="center"/>
        <w:tblLayout w:type="fixed"/>
        <w:tblCellMar>
          <w:top w:w="0" w:type="dxa"/>
          <w:left w:w="0" w:type="dxa"/>
          <w:bottom w:w="0" w:type="dxa"/>
          <w:right w:w="0" w:type="dxa"/>
        </w:tblCellMar>
      </w:tblPr>
      <w:tblGrid>
        <w:gridCol w:w="438"/>
        <w:gridCol w:w="1041"/>
        <w:gridCol w:w="493"/>
        <w:gridCol w:w="492"/>
        <w:gridCol w:w="498"/>
        <w:gridCol w:w="496"/>
        <w:gridCol w:w="501"/>
        <w:gridCol w:w="496"/>
        <w:gridCol w:w="473"/>
        <w:gridCol w:w="567"/>
        <w:gridCol w:w="425"/>
        <w:gridCol w:w="600"/>
        <w:gridCol w:w="420"/>
        <w:gridCol w:w="496"/>
        <w:gridCol w:w="496"/>
        <w:gridCol w:w="540"/>
        <w:gridCol w:w="458"/>
        <w:gridCol w:w="489"/>
        <w:gridCol w:w="503"/>
        <w:gridCol w:w="489"/>
        <w:gridCol w:w="496"/>
        <w:gridCol w:w="8"/>
        <w:gridCol w:w="534"/>
        <w:gridCol w:w="425"/>
        <w:gridCol w:w="567"/>
        <w:gridCol w:w="414"/>
        <w:gridCol w:w="436"/>
        <w:gridCol w:w="545"/>
        <w:gridCol w:w="448"/>
        <w:gridCol w:w="534"/>
        <w:gridCol w:w="491"/>
      </w:tblGrid>
      <w:tr>
        <w:tblPrEx>
          <w:tblCellMar>
            <w:top w:w="0" w:type="dxa"/>
            <w:left w:w="0" w:type="dxa"/>
            <w:bottom w:w="0" w:type="dxa"/>
            <w:right w:w="0" w:type="dxa"/>
          </w:tblCellMar>
        </w:tblPrEx>
        <w:trPr>
          <w:trHeight w:val="378" w:hRule="atLeast"/>
          <w:jc w:val="center"/>
        </w:trPr>
        <w:tc>
          <w:tcPr>
            <w:tcW w:w="1479"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监督类别</w:t>
            </w:r>
          </w:p>
        </w:tc>
        <w:tc>
          <w:tcPr>
            <w:tcW w:w="13830" w:type="dxa"/>
            <w:gridSpan w:val="29"/>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监督评价结果</w:t>
            </w:r>
          </w:p>
        </w:tc>
      </w:tr>
      <w:tr>
        <w:tblPrEx>
          <w:tblCellMar>
            <w:top w:w="0" w:type="dxa"/>
            <w:left w:w="0" w:type="dxa"/>
            <w:bottom w:w="0" w:type="dxa"/>
            <w:right w:w="0" w:type="dxa"/>
          </w:tblCellMar>
        </w:tblPrEx>
        <w:trPr>
          <w:trHeight w:val="402" w:hRule="atLeast"/>
          <w:jc w:val="center"/>
        </w:trPr>
        <w:tc>
          <w:tcPr>
            <w:tcW w:w="1479"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344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传染病疫情控制</w:t>
            </w:r>
          </w:p>
        </w:tc>
        <w:tc>
          <w:tcPr>
            <w:tcW w:w="354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消毒隔离制度执行情况</w:t>
            </w:r>
          </w:p>
        </w:tc>
        <w:tc>
          <w:tcPr>
            <w:tcW w:w="3402" w:type="dxa"/>
            <w:gridSpan w:val="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医疗废物处置</w:t>
            </w:r>
          </w:p>
        </w:tc>
        <w:tc>
          <w:tcPr>
            <w:tcW w:w="3435"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病原微生物实验室生物安全</w:t>
            </w:r>
          </w:p>
        </w:tc>
      </w:tr>
      <w:tr>
        <w:tblPrEx>
          <w:tblCellMar>
            <w:top w:w="0" w:type="dxa"/>
            <w:left w:w="0" w:type="dxa"/>
            <w:bottom w:w="0" w:type="dxa"/>
            <w:right w:w="0" w:type="dxa"/>
          </w:tblCellMar>
        </w:tblPrEx>
        <w:trPr>
          <w:trHeight w:val="561" w:hRule="atLeast"/>
          <w:jc w:val="center"/>
        </w:trPr>
        <w:tc>
          <w:tcPr>
            <w:tcW w:w="1479"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9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96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1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103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99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93"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w:t>
            </w:r>
          </w:p>
        </w:tc>
        <w:tc>
          <w:tcPr>
            <w:tcW w:w="85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优秀</w:t>
            </w:r>
          </w:p>
        </w:tc>
        <w:tc>
          <w:tcPr>
            <w:tcW w:w="99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该项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重点</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w:t>
            </w:r>
          </w:p>
        </w:tc>
      </w:tr>
      <w:tr>
        <w:tblPrEx>
          <w:tblCellMar>
            <w:top w:w="0" w:type="dxa"/>
            <w:left w:w="0" w:type="dxa"/>
            <w:bottom w:w="0" w:type="dxa"/>
            <w:right w:w="0" w:type="dxa"/>
          </w:tblCellMar>
        </w:tblPrEx>
        <w:trPr>
          <w:trHeight w:val="1463" w:hRule="atLeast"/>
          <w:jc w:val="center"/>
        </w:trPr>
        <w:tc>
          <w:tcPr>
            <w:tcW w:w="1479" w:type="dxa"/>
            <w:gridSpan w:val="2"/>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w:t>
            </w:r>
            <w:r>
              <w:rPr>
                <w:rFonts w:hint="eastAsia" w:ascii="仿宋" w:hAnsi="仿宋" w:eastAsia="仿宋" w:cs="仿宋"/>
                <w:color w:val="000000"/>
                <w:kern w:val="0"/>
                <w:sz w:val="15"/>
                <w:szCs w:val="15"/>
                <w:highlight w:val="none"/>
              </w:rPr>
              <w:t>（家）</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率(%)</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w:t>
            </w:r>
            <w:r>
              <w:rPr>
                <w:rFonts w:hint="eastAsia" w:ascii="仿宋" w:hAnsi="仿宋" w:eastAsia="仿宋" w:cs="仿宋"/>
                <w:color w:val="000000"/>
                <w:kern w:val="0"/>
                <w:sz w:val="15"/>
                <w:szCs w:val="15"/>
                <w:highlight w:val="none"/>
              </w:rPr>
              <w:t>（家）</w:t>
            </w: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合计（家）</w:t>
            </w: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w:t>
            </w:r>
            <w:r>
              <w:rPr>
                <w:rFonts w:hint="eastAsia" w:ascii="仿宋" w:hAnsi="仿宋" w:eastAsia="仿宋" w:cs="仿宋"/>
                <w:color w:val="000000"/>
                <w:kern w:val="0"/>
                <w:sz w:val="15"/>
                <w:szCs w:val="15"/>
                <w:highlight w:val="none"/>
              </w:rPr>
              <w:t>（家）</w:t>
            </w: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单位数（家）</w:t>
            </w: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百分率(%)</w:t>
            </w:r>
          </w:p>
        </w:tc>
      </w:tr>
      <w:tr>
        <w:tblPrEx>
          <w:tblCellMar>
            <w:top w:w="0" w:type="dxa"/>
            <w:left w:w="0" w:type="dxa"/>
            <w:bottom w:w="0" w:type="dxa"/>
            <w:right w:w="0" w:type="dxa"/>
          </w:tblCellMar>
        </w:tblPrEx>
        <w:trPr>
          <w:trHeight w:val="360"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总计</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84" w:hRule="atLeast"/>
          <w:jc w:val="center"/>
        </w:trPr>
        <w:tc>
          <w:tcPr>
            <w:tcW w:w="438"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医疗机构</w:t>
            </w:r>
          </w:p>
        </w:tc>
        <w:tc>
          <w:tcPr>
            <w:tcW w:w="10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小计</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53" w:hRule="atLeast"/>
          <w:jc w:val="center"/>
        </w:trPr>
        <w:tc>
          <w:tcPr>
            <w:tcW w:w="438"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53" w:hRule="atLeast"/>
          <w:jc w:val="center"/>
        </w:trPr>
        <w:tc>
          <w:tcPr>
            <w:tcW w:w="438"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53" w:hRule="atLeast"/>
          <w:jc w:val="center"/>
        </w:trPr>
        <w:tc>
          <w:tcPr>
            <w:tcW w:w="438"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88" w:hRule="atLeast"/>
          <w:jc w:val="center"/>
        </w:trPr>
        <w:tc>
          <w:tcPr>
            <w:tcW w:w="438"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41"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基层</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（其中诊所）</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43" w:hRule="atLeast"/>
          <w:jc w:val="center"/>
        </w:trPr>
        <w:tc>
          <w:tcPr>
            <w:tcW w:w="438"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1041"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 w:hAnsi="仿宋" w:eastAsia="仿宋" w:cs="仿宋"/>
                <w:color w:val="00000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79"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疾控机构</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CellMar>
            <w:top w:w="0" w:type="dxa"/>
            <w:left w:w="0" w:type="dxa"/>
            <w:bottom w:w="0" w:type="dxa"/>
            <w:right w:w="0" w:type="dxa"/>
          </w:tblCellMar>
        </w:tblPrEx>
        <w:trPr>
          <w:trHeight w:val="365" w:hRule="atLeast"/>
          <w:jc w:val="center"/>
        </w:trPr>
        <w:tc>
          <w:tcPr>
            <w:tcW w:w="14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采供血机构</w:t>
            </w:r>
          </w:p>
        </w:tc>
        <w:tc>
          <w:tcPr>
            <w:tcW w:w="49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5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5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18"/>
                <w:szCs w:val="18"/>
                <w:highlight w:val="none"/>
              </w:rPr>
            </w:pPr>
          </w:p>
        </w:tc>
      </w:tr>
    </w:tbl>
    <w:p>
      <w:pPr>
        <w:widowControl/>
        <w:spacing w:line="600" w:lineRule="exact"/>
        <w:ind w:firstLine="640" w:firstLineChars="200"/>
        <w:jc w:val="left"/>
        <w:rPr>
          <w:rFonts w:hint="eastAsia" w:ascii="仿宋" w:hAnsi="仿宋" w:eastAsia="仿宋" w:cs="仿宋"/>
          <w:color w:val="000000"/>
          <w:sz w:val="32"/>
          <w:szCs w:val="24"/>
          <w:highlight w:val="none"/>
        </w:rPr>
        <w:sectPr>
          <w:pgSz w:w="16838" w:h="11906" w:orient="landscape"/>
          <w:pgMar w:top="1803" w:right="1440" w:bottom="1803" w:left="1723" w:header="851" w:footer="992" w:gutter="0"/>
          <w:pgNumType w:fmt="numberInDash"/>
          <w:cols w:space="720" w:num="1"/>
          <w:docGrid w:type="lines" w:linePitch="319" w:charSpace="0"/>
        </w:sectPr>
      </w:pPr>
    </w:p>
    <w:p>
      <w:pPr>
        <w:spacing w:line="590" w:lineRule="exact"/>
        <w:rPr>
          <w:rFonts w:eastAsia="黑体"/>
          <w:color w:val="000000"/>
          <w:sz w:val="32"/>
          <w:szCs w:val="32"/>
          <w:highlight w:val="none"/>
        </w:rPr>
      </w:pPr>
      <w:r>
        <w:rPr>
          <w:rFonts w:eastAsia="黑体"/>
          <w:color w:val="000000"/>
          <w:sz w:val="32"/>
          <w:szCs w:val="32"/>
          <w:highlight w:val="none"/>
        </w:rPr>
        <w:t>附表2</w:t>
      </w:r>
    </w:p>
    <w:p>
      <w:pPr>
        <w:jc w:val="left"/>
        <w:rPr>
          <w:rFonts w:eastAsia="黑体"/>
          <w:color w:val="000000"/>
          <w:sz w:val="32"/>
          <w:szCs w:val="32"/>
          <w:highlight w:val="none"/>
        </w:rPr>
      </w:pPr>
      <w:r>
        <w:rPr>
          <w:rFonts w:eastAsia="黑体"/>
          <w:color w:val="000000"/>
          <w:sz w:val="32"/>
          <w:szCs w:val="32"/>
          <w:highlight w:val="none"/>
        </w:rPr>
        <w:t xml:space="preserve"> </w:t>
      </w:r>
    </w:p>
    <w:p>
      <w:pPr>
        <w:jc w:val="center"/>
        <w:rPr>
          <w:rFonts w:eastAsia="方正小标宋简体"/>
          <w:color w:val="000000"/>
          <w:sz w:val="44"/>
          <w:szCs w:val="44"/>
          <w:highlight w:val="none"/>
        </w:rPr>
      </w:pPr>
      <w:r>
        <w:rPr>
          <w:rFonts w:eastAsia="方正小标宋简体"/>
          <w:color w:val="000000"/>
          <w:sz w:val="44"/>
          <w:szCs w:val="44"/>
          <w:highlight w:val="none"/>
        </w:rPr>
        <w:t>2025年医疗卫生机构传染病防治国家随机监督抽检汇总表</w:t>
      </w:r>
    </w:p>
    <w:p>
      <w:pPr>
        <w:jc w:val="left"/>
        <w:rPr>
          <w:rFonts w:ascii="宋体" w:hAnsi="宋体" w:eastAsia="宋体"/>
          <w:bCs/>
          <w:color w:val="000000"/>
          <w:szCs w:val="21"/>
          <w:highlight w:val="none"/>
        </w:rPr>
      </w:pPr>
      <w:r>
        <w:rPr>
          <w:rFonts w:eastAsia="仿宋"/>
          <w:bCs/>
          <w:color w:val="000000"/>
          <w:szCs w:val="21"/>
          <w:highlight w:val="none"/>
        </w:rPr>
        <w:t xml:space="preserve">           </w:t>
      </w:r>
    </w:p>
    <w:tbl>
      <w:tblPr>
        <w:tblStyle w:val="10"/>
        <w:tblW w:w="12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346"/>
        <w:gridCol w:w="1779"/>
        <w:gridCol w:w="1779"/>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监督对象</w:t>
            </w:r>
          </w:p>
        </w:tc>
        <w:tc>
          <w:tcPr>
            <w:tcW w:w="234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辖区</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机构数</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（家）</w:t>
            </w:r>
          </w:p>
        </w:tc>
        <w:tc>
          <w:tcPr>
            <w:tcW w:w="1779"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抽检任务</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机构数</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（家）</w:t>
            </w:r>
          </w:p>
        </w:tc>
        <w:tc>
          <w:tcPr>
            <w:tcW w:w="1779"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完成抽检</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机构数</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（家）</w:t>
            </w:r>
          </w:p>
        </w:tc>
        <w:tc>
          <w:tcPr>
            <w:tcW w:w="1779"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抽检件数</w:t>
            </w:r>
          </w:p>
        </w:tc>
        <w:tc>
          <w:tcPr>
            <w:tcW w:w="1779"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合格件数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93"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234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779"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779"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779"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779"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三级医院</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二级医院</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一级医院</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基层医疗机构</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（其中诊所）</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疾控机构</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采供血机构</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w:t>
            </w:r>
          </w:p>
        </w:tc>
        <w:tc>
          <w:tcPr>
            <w:tcW w:w="234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77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bl>
    <w:p>
      <w:pPr>
        <w:ind w:firstLine="1050" w:firstLineChars="50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 xml:space="preserve"> </w:t>
      </w:r>
    </w:p>
    <w:p>
      <w:pPr>
        <w:spacing w:line="590" w:lineRule="exact"/>
        <w:rPr>
          <w:rFonts w:eastAsia="黑体"/>
          <w:color w:val="000000"/>
          <w:sz w:val="32"/>
          <w:szCs w:val="32"/>
          <w:highlight w:val="none"/>
        </w:rPr>
      </w:pPr>
      <w:r>
        <w:rPr>
          <w:rFonts w:eastAsia="黑体"/>
          <w:color w:val="000000"/>
          <w:sz w:val="32"/>
          <w:szCs w:val="32"/>
          <w:highlight w:val="none"/>
        </w:rPr>
        <w:t>附表3</w:t>
      </w:r>
    </w:p>
    <w:p>
      <w:pPr>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2025年医疗卫生机构传染病防治国家随机监督抽查案件查处汇总表</w:t>
      </w:r>
    </w:p>
    <w:p>
      <w:pPr>
        <w:jc w:val="left"/>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 xml:space="preserve">   </w:t>
      </w:r>
    </w:p>
    <w:tbl>
      <w:tblPr>
        <w:tblStyle w:val="10"/>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1275"/>
        <w:gridCol w:w="1276"/>
        <w:gridCol w:w="1276"/>
        <w:gridCol w:w="1275"/>
        <w:gridCol w:w="1276"/>
        <w:gridCol w:w="1276"/>
        <w:gridCol w:w="993"/>
        <w:gridCol w:w="992"/>
        <w:gridCol w:w="915"/>
        <w:gridCol w:w="1069"/>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1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监督对象</w:t>
            </w:r>
          </w:p>
        </w:tc>
        <w:tc>
          <w:tcPr>
            <w:tcW w:w="1275"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辖区</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机构数（家）</w:t>
            </w:r>
          </w:p>
        </w:tc>
        <w:tc>
          <w:tcPr>
            <w:tcW w:w="127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检查</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机构数（家）</w:t>
            </w:r>
          </w:p>
        </w:tc>
        <w:tc>
          <w:tcPr>
            <w:tcW w:w="127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抽检任务</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机构数（家）</w:t>
            </w:r>
          </w:p>
        </w:tc>
        <w:tc>
          <w:tcPr>
            <w:tcW w:w="1275"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发现违法</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行为机构数（家）</w:t>
            </w:r>
          </w:p>
        </w:tc>
        <w:tc>
          <w:tcPr>
            <w:tcW w:w="127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案件数</w:t>
            </w:r>
          </w:p>
        </w:tc>
        <w:tc>
          <w:tcPr>
            <w:tcW w:w="127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行政处分</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人员数</w:t>
            </w:r>
          </w:p>
        </w:tc>
        <w:tc>
          <w:tcPr>
            <w:tcW w:w="4750" w:type="dxa"/>
            <w:gridSpan w:val="5"/>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41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5"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5"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吊证</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（家）</w:t>
            </w:r>
          </w:p>
        </w:tc>
        <w:tc>
          <w:tcPr>
            <w:tcW w:w="992"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警告（家）</w:t>
            </w:r>
          </w:p>
        </w:tc>
        <w:tc>
          <w:tcPr>
            <w:tcW w:w="915"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罚款（家）</w:t>
            </w:r>
          </w:p>
        </w:tc>
        <w:tc>
          <w:tcPr>
            <w:tcW w:w="1069"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罚款金额</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（万元）</w:t>
            </w:r>
          </w:p>
        </w:tc>
        <w:tc>
          <w:tcPr>
            <w:tcW w:w="781"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三级医院</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二级医院</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一级医院</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vMerge w:val="restart"/>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基层医疗机构</w:t>
            </w:r>
          </w:p>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（其中诊所）</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vMerge w:val="continue"/>
            <w:noWrap w:val="0"/>
            <w:vAlign w:val="center"/>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疾控机构</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采供血机构</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16" w:type="dxa"/>
            <w:noWrap w:val="0"/>
            <w:vAlign w:val="center"/>
          </w:tcPr>
          <w:p>
            <w:pPr>
              <w:widowControl/>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合计</w:t>
            </w: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276"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3"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92"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915"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1069"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c>
          <w:tcPr>
            <w:tcW w:w="781" w:type="dxa"/>
            <w:noWrap w:val="0"/>
            <w:vAlign w:val="top"/>
          </w:tcPr>
          <w:p>
            <w:pPr>
              <w:widowControl/>
              <w:jc w:val="center"/>
              <w:textAlignment w:val="center"/>
              <w:rPr>
                <w:rFonts w:hint="eastAsia" w:ascii="仿宋" w:hAnsi="仿宋" w:eastAsia="仿宋" w:cs="仿宋"/>
                <w:color w:val="000000"/>
                <w:kern w:val="0"/>
                <w:sz w:val="18"/>
                <w:szCs w:val="18"/>
                <w:highlight w:val="none"/>
              </w:rPr>
            </w:pPr>
          </w:p>
        </w:tc>
      </w:tr>
    </w:tbl>
    <w:p>
      <w:pPr>
        <w:sectPr>
          <w:pgSz w:w="16838" w:h="11906" w:orient="landscape"/>
          <w:pgMar w:top="1800" w:right="1440" w:bottom="1800" w:left="1440" w:header="851" w:footer="992" w:gutter="0"/>
          <w:pgNumType w:fmt="numberInDash"/>
          <w:cols w:space="425" w:num="1"/>
          <w:docGrid w:type="lines" w:linePitch="312" w:charSpace="0"/>
        </w:sectPr>
      </w:pPr>
    </w:p>
    <w:p>
      <w:pPr>
        <w:jc w:val="both"/>
        <w:rPr>
          <w:rFonts w:hint="eastAsia" w:ascii="仿宋_GB2312" w:hAnsi="宋体" w:eastAsia="仿宋_GB2312"/>
          <w:sz w:val="28"/>
          <w:szCs w:val="28"/>
          <w:u w:val="thick"/>
        </w:rPr>
      </w:pPr>
      <w:bookmarkStart w:id="0" w:name="_GoBack"/>
      <w:bookmarkEnd w:id="0"/>
    </w:p>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- 35 -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pIEV6uQEAAGIDAAAOAAAAAAAAAAEAIAAAADQBAABkcnMv&#10;ZTJvRG9jLnhtbFBLBQYAAAAABgAGAFkBAABfBQ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- 70 -</w:t>
                    </w:r>
                    <w:r>
                      <w:fldChar w:fldCharType="end"/>
                    </w:r>
                  </w:p>
                </w:txbxContent>
              </v:textbox>
            </v:shape>
          </w:pict>
        </mc:Fallback>
      </mc:AlternateContent>
    </w:r>
  </w:p>
  <w:p>
    <w:pPr>
      <w:rPr>
        <w:rFonts w:eastAsia="仿宋_GB2312"/>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jdmZWZjYThiZjJkMmJlOGY4YTEwNDI4ZDY5MTcifQ=="/>
  </w:docVars>
  <w:rsids>
    <w:rsidRoot w:val="043B6234"/>
    <w:rsid w:val="00AA293E"/>
    <w:rsid w:val="014E364A"/>
    <w:rsid w:val="01BA1962"/>
    <w:rsid w:val="04291317"/>
    <w:rsid w:val="043B6234"/>
    <w:rsid w:val="068B0AD0"/>
    <w:rsid w:val="07423F26"/>
    <w:rsid w:val="09A23A06"/>
    <w:rsid w:val="0A1F6D25"/>
    <w:rsid w:val="0AAE6F90"/>
    <w:rsid w:val="0D63510D"/>
    <w:rsid w:val="125B745E"/>
    <w:rsid w:val="12AC02FB"/>
    <w:rsid w:val="14F319E7"/>
    <w:rsid w:val="1529043B"/>
    <w:rsid w:val="155B3298"/>
    <w:rsid w:val="16EF2637"/>
    <w:rsid w:val="19742C91"/>
    <w:rsid w:val="19F35F97"/>
    <w:rsid w:val="1C5105C6"/>
    <w:rsid w:val="1E1A430D"/>
    <w:rsid w:val="1F55236C"/>
    <w:rsid w:val="24A32EE9"/>
    <w:rsid w:val="273C3E88"/>
    <w:rsid w:val="27D43AE7"/>
    <w:rsid w:val="282E72D4"/>
    <w:rsid w:val="29AF319F"/>
    <w:rsid w:val="29EA6129"/>
    <w:rsid w:val="2A274C09"/>
    <w:rsid w:val="2E0E0D8E"/>
    <w:rsid w:val="30932D23"/>
    <w:rsid w:val="31D634F1"/>
    <w:rsid w:val="32865973"/>
    <w:rsid w:val="333511E1"/>
    <w:rsid w:val="33701470"/>
    <w:rsid w:val="34140EA1"/>
    <w:rsid w:val="364E3C48"/>
    <w:rsid w:val="36875285"/>
    <w:rsid w:val="3697531E"/>
    <w:rsid w:val="3AB06DAC"/>
    <w:rsid w:val="3BCD5D53"/>
    <w:rsid w:val="3E120171"/>
    <w:rsid w:val="401129D5"/>
    <w:rsid w:val="44BA5BF1"/>
    <w:rsid w:val="46EF29F5"/>
    <w:rsid w:val="46EF4DF0"/>
    <w:rsid w:val="473232DB"/>
    <w:rsid w:val="4B3A6FE7"/>
    <w:rsid w:val="4B6B4329"/>
    <w:rsid w:val="4DD56696"/>
    <w:rsid w:val="4DF47921"/>
    <w:rsid w:val="4E367E25"/>
    <w:rsid w:val="51AE21F8"/>
    <w:rsid w:val="54587870"/>
    <w:rsid w:val="57698572"/>
    <w:rsid w:val="58A93CA4"/>
    <w:rsid w:val="5C8479FD"/>
    <w:rsid w:val="5E9652BC"/>
    <w:rsid w:val="5ECC7482"/>
    <w:rsid w:val="5EF57E34"/>
    <w:rsid w:val="5EFEF83C"/>
    <w:rsid w:val="5F51216C"/>
    <w:rsid w:val="5F7A5B4F"/>
    <w:rsid w:val="60314D40"/>
    <w:rsid w:val="6098238E"/>
    <w:rsid w:val="621E0696"/>
    <w:rsid w:val="63E13BDF"/>
    <w:rsid w:val="65F2521D"/>
    <w:rsid w:val="68A35AA2"/>
    <w:rsid w:val="6DE20BE5"/>
    <w:rsid w:val="6E0F4DD7"/>
    <w:rsid w:val="715B3142"/>
    <w:rsid w:val="730A583D"/>
    <w:rsid w:val="76871819"/>
    <w:rsid w:val="77184C61"/>
    <w:rsid w:val="7FFFA337"/>
    <w:rsid w:val="7FFFBAAA"/>
    <w:rsid w:val="D7EF52DE"/>
    <w:rsid w:val="DEAD4E41"/>
    <w:rsid w:val="EFF5D829"/>
    <w:rsid w:val="F75F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autoSpaceDE w:val="0"/>
      <w:autoSpaceDN w:val="0"/>
      <w:jc w:val="left"/>
    </w:pPr>
    <w:rPr>
      <w:rFonts w:ascii="方正仿宋简体" w:hAnsi="方正仿宋简体" w:eastAsia="方正仿宋简体" w:cs="方正仿宋简体"/>
      <w:kern w:val="0"/>
      <w:sz w:val="31"/>
      <w:szCs w:val="31"/>
      <w:lang w:val="zh-CN" w:bidi="zh-CN"/>
    </w:rPr>
  </w:style>
  <w:style w:type="paragraph" w:styleId="5">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unhideWhenUsed/>
    <w:qFormat/>
    <w:uiPriority w:val="0"/>
    <w:rPr>
      <w:color w:val="0000FF"/>
      <w:u w:val="single"/>
    </w:rPr>
  </w:style>
  <w:style w:type="paragraph" w:styleId="15">
    <w:name w:val="List Paragraph"/>
    <w:basedOn w:val="1"/>
    <w:qFormat/>
    <w:uiPriority w:val="99"/>
    <w:pPr>
      <w:ind w:firstLine="420" w:firstLineChars="200"/>
    </w:pPr>
    <w:rPr>
      <w:rFonts w:eastAsia="仿宋_GB2312"/>
      <w:sz w:val="32"/>
      <w:szCs w:val="24"/>
    </w:rPr>
  </w:style>
  <w:style w:type="paragraph" w:customStyle="1" w:styleId="16">
    <w:name w:val="Table Paragraph"/>
    <w:basedOn w:val="1"/>
    <w:unhideWhenUsed/>
    <w:qFormat/>
    <w:uiPriority w:val="1"/>
    <w:rPr>
      <w:sz w:val="24"/>
      <w:szCs w:val="24"/>
    </w:rPr>
  </w:style>
  <w:style w:type="paragraph" w:customStyle="1" w:styleId="17">
    <w:name w:val="其他"/>
    <w:basedOn w:val="1"/>
    <w:qFormat/>
    <w:uiPriority w:val="0"/>
    <w:rPr>
      <w:rFonts w:ascii="宋体" w:hAnsi="宋体" w:eastAsia="宋体" w:cs="宋体"/>
      <w:color w:val="auto"/>
      <w:kern w:val="2"/>
      <w:sz w:val="20"/>
      <w:szCs w:val="20"/>
      <w:lang w:val="zh-CN" w:eastAsia="zh-CN" w:bidi="zh-CN"/>
    </w:rPr>
  </w:style>
  <w:style w:type="character" w:customStyle="1" w:styleId="18">
    <w:name w:val="font31"/>
    <w:basedOn w:val="12"/>
    <w:qFormat/>
    <w:uiPriority w:val="0"/>
    <w:rPr>
      <w:rFonts w:hint="eastAsia" w:ascii="宋体" w:hAnsi="宋体" w:eastAsia="宋体" w:cs="宋体"/>
      <w:b/>
      <w:bCs/>
      <w:color w:val="FF0000"/>
      <w:sz w:val="16"/>
      <w:szCs w:val="16"/>
      <w:u w:val="single"/>
    </w:rPr>
  </w:style>
  <w:style w:type="character" w:customStyle="1" w:styleId="19">
    <w:name w:val="font61"/>
    <w:basedOn w:val="12"/>
    <w:qFormat/>
    <w:uiPriority w:val="0"/>
    <w:rPr>
      <w:rFonts w:hint="eastAsia" w:ascii="宋体" w:hAnsi="宋体" w:eastAsia="宋体" w:cs="宋体"/>
      <w:color w:val="000000"/>
      <w:sz w:val="16"/>
      <w:szCs w:val="16"/>
      <w:u w:val="none"/>
    </w:rPr>
  </w:style>
  <w:style w:type="character" w:customStyle="1" w:styleId="20">
    <w:name w:val="font01"/>
    <w:basedOn w:val="12"/>
    <w:qFormat/>
    <w:uiPriority w:val="0"/>
    <w:rPr>
      <w:rFonts w:hint="eastAsia" w:ascii="仿宋_GB2312" w:eastAsia="仿宋_GB2312" w:cs="仿宋_GB2312"/>
      <w:color w:val="FF0000"/>
      <w:sz w:val="16"/>
      <w:szCs w:val="16"/>
      <w:u w:val="none"/>
    </w:rPr>
  </w:style>
  <w:style w:type="character" w:customStyle="1" w:styleId="21">
    <w:name w:val="font11"/>
    <w:basedOn w:val="12"/>
    <w:qFormat/>
    <w:uiPriority w:val="0"/>
    <w:rPr>
      <w:rFonts w:hint="eastAsia" w:ascii="宋体" w:hAnsi="宋体" w:eastAsia="宋体" w:cs="宋体"/>
      <w:color w:val="FF0000"/>
      <w:sz w:val="16"/>
      <w:szCs w:val="16"/>
      <w:u w:val="none"/>
    </w:rPr>
  </w:style>
  <w:style w:type="character" w:customStyle="1" w:styleId="22">
    <w:name w:val="font71"/>
    <w:basedOn w:val="12"/>
    <w:qFormat/>
    <w:uiPriority w:val="0"/>
    <w:rPr>
      <w:rFonts w:hint="eastAsia" w:ascii="仿宋_GB2312" w:eastAsia="仿宋_GB2312" w:cs="仿宋_GB2312"/>
      <w:color w:val="000000"/>
      <w:sz w:val="16"/>
      <w:szCs w:val="16"/>
      <w:u w:val="none"/>
      <w:vertAlign w:val="superscript"/>
    </w:rPr>
  </w:style>
  <w:style w:type="character" w:customStyle="1" w:styleId="23">
    <w:name w:val="font51"/>
    <w:basedOn w:val="12"/>
    <w:qFormat/>
    <w:uiPriority w:val="0"/>
    <w:rPr>
      <w:rFonts w:hint="eastAsia" w:ascii="仿宋_GB2312" w:eastAsia="仿宋_GB2312" w:cs="仿宋_GB2312"/>
      <w:color w:val="000000"/>
      <w:sz w:val="16"/>
      <w:szCs w:val="16"/>
      <w:u w:val="none"/>
    </w:rPr>
  </w:style>
  <w:style w:type="character" w:customStyle="1" w:styleId="24">
    <w:name w:val="font41"/>
    <w:basedOn w:val="12"/>
    <w:qFormat/>
    <w:uiPriority w:val="0"/>
    <w:rPr>
      <w:rFonts w:hint="eastAsia" w:ascii="宋体" w:hAnsi="宋体" w:eastAsia="宋体" w:cs="宋体"/>
      <w:color w:val="FFC000"/>
      <w:sz w:val="16"/>
      <w:szCs w:val="16"/>
      <w:u w:val="none"/>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2309</Words>
  <Characters>2488</Characters>
  <Lines>0</Lines>
  <Paragraphs>0</Paragraphs>
  <TotalTime>248</TotalTime>
  <ScaleCrop>false</ScaleCrop>
  <LinksUpToDate>false</LinksUpToDate>
  <CharactersWithSpaces>2539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2024-04-23T23:40:00Z</dcterms:created>
  <dc:creator>刘倩</dc:creator>
  <cp:lastModifiedBy>qtxs</cp:lastModifiedBy>
  <cp:lastPrinted>2025-07-09T02:12:00Z</cp:lastPrinted>
  <dcterms:modified xsi:type="dcterms:W3CDTF">2025-07-10T11:45:16Z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DCDA080396764FDD91FADCC4E3A09286_13</vt:lpwstr>
  </property>
  <property fmtid="{D5CDD505-2E9C-101B-9397-08002B2CF9AE}" pid="4" name="KSOTemplateDocerSaveRecord">
    <vt:lpwstr>eyJoZGlkIjoiNDBlYTg0M2UxYjIyNGVjMWNlNTVmZTdhOTY4ZGE5MjYiLCJ1c2VySWQiOiI5NTk0ODk2ODQifQ==</vt:lpwstr>
  </property>
</Properties>
</file>