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0" w:afterAutospacing="0" w:line="900" w:lineRule="atLeast"/>
        <w:ind w:left="0" w:right="0"/>
        <w:jc w:val="center"/>
        <w:rPr>
          <w:color w:val="auto"/>
          <w:sz w:val="45"/>
          <w:szCs w:val="45"/>
        </w:rPr>
      </w:pPr>
      <w:r>
        <w:rPr>
          <w:rFonts w:hint="eastAsia"/>
          <w:color w:val="auto"/>
          <w:sz w:val="45"/>
          <w:szCs w:val="45"/>
          <w:shd w:val="clear" w:fill="FFFFFF"/>
          <w:lang w:eastAsia="zh-CN"/>
        </w:rPr>
        <w:t>青铜峡</w:t>
      </w:r>
      <w:r>
        <w:rPr>
          <w:color w:val="auto"/>
          <w:sz w:val="45"/>
          <w:szCs w:val="45"/>
          <w:shd w:val="clear" w:fill="FFFFFF"/>
        </w:rPr>
        <w:t>市财政局音像记录事项清单</w:t>
      </w:r>
    </w:p>
    <w:tbl>
      <w:tblPr>
        <w:tblW w:w="13780" w:type="dxa"/>
        <w:jc w:val="center"/>
        <w:tblInd w:w="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528"/>
        <w:gridCol w:w="2726"/>
        <w:gridCol w:w="1408"/>
        <w:gridCol w:w="2666"/>
        <w:gridCol w:w="989"/>
        <w:gridCol w:w="2996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86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ascii="仿宋_GB2312" w:hAnsi="微软雅黑" w:eastAsia="仿宋_GB2312" w:cs="仿宋_GB2312"/>
                <w:color w:val="00000A"/>
                <w:sz w:val="27"/>
                <w:szCs w:val="27"/>
              </w:rPr>
              <w:t>执法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类别</w:t>
            </w:r>
          </w:p>
        </w:tc>
        <w:tc>
          <w:tcPr>
            <w:tcW w:w="1528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执法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事项</w:t>
            </w:r>
          </w:p>
        </w:tc>
        <w:tc>
          <w:tcPr>
            <w:tcW w:w="2726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记录事项</w:t>
            </w:r>
          </w:p>
        </w:tc>
        <w:tc>
          <w:tcPr>
            <w:tcW w:w="1408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记录场所</w:t>
            </w:r>
          </w:p>
        </w:tc>
        <w:tc>
          <w:tcPr>
            <w:tcW w:w="2666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执法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部门</w:t>
            </w:r>
          </w:p>
        </w:tc>
        <w:tc>
          <w:tcPr>
            <w:tcW w:w="989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记录人</w:t>
            </w:r>
          </w:p>
        </w:tc>
        <w:tc>
          <w:tcPr>
            <w:tcW w:w="2996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记录过程</w:t>
            </w:r>
          </w:p>
        </w:tc>
        <w:tc>
          <w:tcPr>
            <w:tcW w:w="598" w:type="dxa"/>
            <w:tcBorders>
              <w:top w:val="single" w:color="00000A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color w:val="00000A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9" w:type="dxa"/>
            <w:vMerge w:val="restart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罚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投诉举报</w:t>
            </w:r>
          </w:p>
        </w:tc>
        <w:tc>
          <w:tcPr>
            <w:tcW w:w="272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受理、核查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受理、核查现场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综合监察室</w:t>
            </w: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与</w:t>
            </w: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各室（中心）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299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依法对投诉、举报事项受理核查全程记录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9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现场（抽样）检查</w:t>
            </w:r>
          </w:p>
        </w:tc>
        <w:tc>
          <w:tcPr>
            <w:tcW w:w="272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现场（抽样）检查过程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执法现场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综合监察室</w:t>
            </w: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与</w:t>
            </w: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各室（中心）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299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依法对当事人现场检查、抽样取证全过程记录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9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询问调查</w:t>
            </w:r>
          </w:p>
        </w:tc>
        <w:tc>
          <w:tcPr>
            <w:tcW w:w="272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询问当事人过程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询问现场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综合监察室</w:t>
            </w: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与</w:t>
            </w: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各室（中心）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299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依法询问当事人，当事人进行陈述全过程记录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9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提供证据资料</w:t>
            </w:r>
          </w:p>
        </w:tc>
        <w:tc>
          <w:tcPr>
            <w:tcW w:w="272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调取案件证据材料过程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调查现场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综合监察室</w:t>
            </w: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与</w:t>
            </w: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各室（中心）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299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依法调取、收集案件证据材料全过程记录（书证无证、视听资料、电子证据、检验报告等）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9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听证</w:t>
            </w:r>
          </w:p>
        </w:tc>
        <w:tc>
          <w:tcPr>
            <w:tcW w:w="272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举行听证全过程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听证现场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综合监察室</w:t>
            </w: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与</w:t>
            </w: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各室（中心）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299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依法对听证会全过程记录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9" w:type="dxa"/>
            <w:vMerge w:val="continue"/>
            <w:tcBorders>
              <w:top w:val="single" w:color="auto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送达</w:t>
            </w:r>
          </w:p>
        </w:tc>
        <w:tc>
          <w:tcPr>
            <w:tcW w:w="272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执法文书送达全过程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送达现场</w:t>
            </w:r>
          </w:p>
        </w:tc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综合监察室</w:t>
            </w: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与</w:t>
            </w:r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各室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（中心）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2996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color w:val="00000A"/>
                <w:spacing w:val="0"/>
                <w:sz w:val="24"/>
                <w:szCs w:val="24"/>
                <w:shd w:val="clear" w:fill="FFFFFF"/>
              </w:rPr>
              <w:t>依法对执法文书送达方式、签收情况的过程记录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autoSpaceDE w:val="0"/>
        <w:autoSpaceDN/>
        <w:spacing w:before="376" w:beforeAutospacing="0" w:after="0" w:afterAutospacing="0" w:line="360" w:lineRule="atLeast"/>
        <w:ind w:left="0" w:right="0" w:firstLine="0"/>
        <w:jc w:val="left"/>
      </w:pPr>
      <w:r>
        <w:rPr>
          <w:rFonts w:ascii="Calibri" w:hAnsi="Calibri" w:eastAsia="微软雅黑" w:cs="Calibri"/>
          <w:color w:val="666666"/>
          <w:sz w:val="21"/>
          <w:szCs w:val="21"/>
          <w:shd w:val="clear" w:fill="FFFFFF"/>
        </w:rPr>
        <w:t>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563F7"/>
    <w:rsid w:val="522563F7"/>
    <w:rsid w:val="75C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10">
    <w:name w:val="cur"/>
    <w:basedOn w:val="5"/>
    <w:uiPriority w:val="0"/>
    <w:rPr>
      <w:shd w:val="clear" w:fill="F75A5C"/>
    </w:rPr>
  </w:style>
  <w:style w:type="character" w:customStyle="1" w:styleId="11">
    <w:name w:val="cur1"/>
    <w:basedOn w:val="5"/>
    <w:uiPriority w:val="0"/>
    <w:rPr>
      <w:color w:val="FFFFFF"/>
      <w:shd w:val="clear" w:fill="FF3300"/>
    </w:rPr>
  </w:style>
  <w:style w:type="character" w:customStyle="1" w:styleId="12">
    <w:name w:val="cur2"/>
    <w:basedOn w:val="5"/>
    <w:uiPriority w:val="0"/>
    <w:rPr>
      <w:shd w:val="clear" w:fill="CF141B"/>
    </w:rPr>
  </w:style>
  <w:style w:type="character" w:customStyle="1" w:styleId="13">
    <w:name w:val="cur3"/>
    <w:basedOn w:val="5"/>
    <w:uiPriority w:val="0"/>
    <w:rPr>
      <w:bdr w:val="single" w:color="FFFFFF" w:sz="6" w:space="0"/>
      <w:shd w:val="clear" w:fill="D20A0A"/>
    </w:rPr>
  </w:style>
  <w:style w:type="character" w:customStyle="1" w:styleId="14">
    <w:name w:val="cur4"/>
    <w:basedOn w:val="5"/>
    <w:uiPriority w:val="0"/>
  </w:style>
  <w:style w:type="character" w:customStyle="1" w:styleId="15">
    <w:name w:val="lt-btn-prev"/>
    <w:basedOn w:val="5"/>
    <w:uiPriority w:val="0"/>
    <w:rPr>
      <w:bdr w:val="single" w:color="DFDFDF" w:sz="6" w:space="0"/>
    </w:rPr>
  </w:style>
  <w:style w:type="character" w:customStyle="1" w:styleId="16">
    <w:name w:val="lt-btn-next"/>
    <w:basedOn w:val="5"/>
    <w:uiPriority w:val="0"/>
    <w:rPr>
      <w:bdr w:val="single" w:color="DFDFDF" w:sz="6" w:space="0"/>
    </w:rPr>
  </w:style>
  <w:style w:type="character" w:customStyle="1" w:styleId="17">
    <w:name w:val="lt-ztbtn-next"/>
    <w:basedOn w:val="5"/>
    <w:uiPriority w:val="0"/>
  </w:style>
  <w:style w:type="character" w:customStyle="1" w:styleId="18">
    <w:name w:val="lt-ztbtn-prev"/>
    <w:basedOn w:val="5"/>
    <w:uiPriority w:val="0"/>
  </w:style>
  <w:style w:type="paragraph" w:customStyle="1" w:styleId="19">
    <w:name w:val="source"/>
    <w:basedOn w:val="1"/>
    <w:uiPriority w:val="0"/>
    <w:pPr>
      <w:spacing w:line="300" w:lineRule="atLeast"/>
      <w:jc w:val="center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2022-07-05T08:17:00Z</dcterms:created>
  <dc:creator>qtxczj</dc:creator>
  <cp:lastModifiedBy>qtxczj</cp:lastModifiedBy>
  <dcterms:modified xsi:type="dcterms:W3CDTF">2022-07-05T08:19:38Z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