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76" w:beforeAutospacing="0" w:after="0" w:afterAutospacing="0" w:line="450" w:lineRule="atLeast"/>
        <w:ind w:left="0" w:right="0" w:firstLine="645"/>
        <w:jc w:val="center"/>
        <w:rPr>
          <w:color w:val="666666"/>
          <w:sz w:val="22"/>
          <w:szCs w:val="22"/>
        </w:rPr>
      </w:pPr>
      <w:r>
        <w:rPr>
          <w:rFonts w:hint="eastAsia" w:ascii="方正小标宋_GBK" w:hAnsi="方正小标宋_GBK" w:eastAsia="方正小标宋_GBK" w:cs="方正小标宋_GBK"/>
          <w:color w:val="666666"/>
          <w:sz w:val="43"/>
          <w:szCs w:val="43"/>
          <w:shd w:val="clear" w:fill="FFFFFF"/>
          <w:lang w:eastAsia="zh-CN"/>
        </w:rPr>
        <w:t>青铜峡市</w:t>
      </w:r>
      <w:r>
        <w:rPr>
          <w:rFonts w:ascii="方正小标宋_GBK" w:hAnsi="方正小标宋_GBK" w:eastAsia="方正小标宋_GBK" w:cs="方正小标宋_GBK"/>
          <w:color w:val="666666"/>
          <w:sz w:val="43"/>
          <w:szCs w:val="43"/>
          <w:shd w:val="clear" w:fill="FFFFFF"/>
        </w:rPr>
        <w:t>财政局</w:t>
      </w:r>
      <w:r>
        <w:rPr>
          <w:rFonts w:hint="default" w:ascii="方正小标宋_GBK" w:hAnsi="方正小标宋_GBK" w:eastAsia="方正小标宋_GBK" w:cs="方正小标宋_GBK"/>
          <w:color w:val="666666"/>
          <w:sz w:val="43"/>
          <w:szCs w:val="43"/>
          <w:shd w:val="clear" w:fill="FFFFFF"/>
        </w:rPr>
        <w:t>行政执法主体资格清单</w:t>
      </w:r>
    </w:p>
    <w:p>
      <w:pPr>
        <w:pStyle w:val="2"/>
        <w:keepNext w:val="0"/>
        <w:keepLines w:val="0"/>
        <w:widowControl/>
        <w:suppressLineNumbers w:val="0"/>
        <w:spacing w:before="376" w:beforeAutospacing="0" w:after="0" w:afterAutospacing="0" w:line="450" w:lineRule="atLeast"/>
        <w:ind w:left="0" w:right="0" w:firstLine="195"/>
        <w:jc w:val="left"/>
        <w:rPr>
          <w:color w:val="666666"/>
          <w:sz w:val="22"/>
          <w:szCs w:val="22"/>
        </w:rPr>
      </w:pPr>
      <w:r>
        <w:rPr>
          <w:rStyle w:val="4"/>
          <w:rFonts w:hint="eastAsia" w:ascii="宋体" w:hAnsi="宋体" w:eastAsia="宋体" w:cs="宋体"/>
          <w:color w:val="666666"/>
          <w:sz w:val="15"/>
          <w:szCs w:val="15"/>
          <w:shd w:val="clear" w:fill="FFFFFF"/>
        </w:rPr>
        <w:t> </w:t>
      </w:r>
    </w:p>
    <w:tbl>
      <w:tblPr>
        <w:tblW w:w="1395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90"/>
        <w:gridCol w:w="540"/>
        <w:gridCol w:w="540"/>
        <w:gridCol w:w="916"/>
        <w:gridCol w:w="450"/>
        <w:gridCol w:w="7585"/>
        <w:gridCol w:w="781"/>
        <w:gridCol w:w="1066"/>
        <w:gridCol w:w="1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25"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60" w:beforeAutospacing="0" w:line="450" w:lineRule="atLeast"/>
              <w:ind w:right="0"/>
              <w:jc w:val="center"/>
              <w:rPr>
                <w:color w:val="666666"/>
                <w:sz w:val="22"/>
                <w:szCs w:val="22"/>
              </w:rPr>
            </w:pPr>
            <w:r>
              <w:rPr>
                <w:rFonts w:ascii="方正仿宋_GBK" w:hAnsi="方正仿宋_GBK" w:eastAsia="方正仿宋_GBK" w:cs="方正仿宋_GBK"/>
                <w:color w:val="666666"/>
                <w:sz w:val="21"/>
                <w:szCs w:val="21"/>
              </w:rPr>
              <w:t>机构</w:t>
            </w:r>
          </w:p>
          <w:p>
            <w:pPr>
              <w:pStyle w:val="2"/>
              <w:keepNext w:val="0"/>
              <w:keepLines w:val="0"/>
              <w:widowControl/>
              <w:suppressLineNumbers w:val="0"/>
              <w:spacing w:before="60" w:beforeAutospacing="0" w:line="450" w:lineRule="atLeast"/>
              <w:ind w:right="0"/>
              <w:jc w:val="center"/>
              <w:rPr>
                <w:color w:val="666666"/>
                <w:sz w:val="22"/>
                <w:szCs w:val="22"/>
              </w:rPr>
            </w:pPr>
            <w:r>
              <w:rPr>
                <w:rFonts w:hint="eastAsia" w:ascii="方正仿宋_GBK" w:hAnsi="方正仿宋_GBK" w:eastAsia="方正仿宋_GBK" w:cs="方正仿宋_GBK"/>
                <w:color w:val="666666"/>
                <w:sz w:val="21"/>
                <w:szCs w:val="21"/>
              </w:rPr>
              <w:t>名称</w:t>
            </w:r>
          </w:p>
        </w:tc>
        <w:tc>
          <w:tcPr>
            <w:tcW w:w="540"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60" w:beforeAutospacing="0" w:line="450" w:lineRule="atLeast"/>
              <w:jc w:val="center"/>
              <w:rPr>
                <w:color w:val="666666"/>
                <w:sz w:val="22"/>
                <w:szCs w:val="22"/>
              </w:rPr>
            </w:pPr>
            <w:r>
              <w:rPr>
                <w:rFonts w:hint="eastAsia" w:ascii="方正仿宋_GBK" w:hAnsi="方正仿宋_GBK" w:eastAsia="方正仿宋_GBK" w:cs="方正仿宋_GBK"/>
                <w:color w:val="666666"/>
                <w:sz w:val="21"/>
                <w:szCs w:val="21"/>
              </w:rPr>
              <w:t>机构性质</w:t>
            </w:r>
          </w:p>
        </w:tc>
        <w:tc>
          <w:tcPr>
            <w:tcW w:w="540"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60" w:beforeAutospacing="0" w:line="450" w:lineRule="atLeast"/>
              <w:jc w:val="center"/>
              <w:rPr>
                <w:color w:val="666666"/>
                <w:sz w:val="22"/>
                <w:szCs w:val="22"/>
              </w:rPr>
            </w:pPr>
            <w:r>
              <w:rPr>
                <w:rFonts w:hint="eastAsia" w:ascii="方正仿宋_GBK" w:hAnsi="方正仿宋_GBK" w:eastAsia="方正仿宋_GBK" w:cs="方正仿宋_GBK"/>
                <w:color w:val="666666"/>
                <w:sz w:val="21"/>
                <w:szCs w:val="21"/>
              </w:rPr>
              <w:t>经费来源</w:t>
            </w:r>
          </w:p>
        </w:tc>
        <w:tc>
          <w:tcPr>
            <w:tcW w:w="916"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autoSpaceDE w:val="0"/>
              <w:autoSpaceDN/>
              <w:spacing w:before="60" w:beforeAutospacing="0" w:line="300" w:lineRule="atLeast"/>
              <w:ind w:right="0"/>
              <w:jc w:val="center"/>
              <w:rPr>
                <w:color w:val="666666"/>
                <w:sz w:val="22"/>
                <w:szCs w:val="22"/>
              </w:rPr>
            </w:pPr>
            <w:r>
              <w:rPr>
                <w:rFonts w:hint="eastAsia" w:ascii="方正仿宋_GBK" w:hAnsi="方正仿宋_GBK" w:eastAsia="方正仿宋_GBK" w:cs="方正仿宋_GBK"/>
                <w:color w:val="666666"/>
                <w:sz w:val="21"/>
                <w:szCs w:val="21"/>
              </w:rPr>
              <w:t>执法队伍</w:t>
            </w:r>
          </w:p>
          <w:p>
            <w:pPr>
              <w:pStyle w:val="2"/>
              <w:keepNext w:val="0"/>
              <w:keepLines w:val="0"/>
              <w:widowControl/>
              <w:suppressLineNumbers w:val="0"/>
              <w:autoSpaceDE w:val="0"/>
              <w:autoSpaceDN/>
              <w:spacing w:before="60" w:beforeAutospacing="0" w:line="300" w:lineRule="atLeast"/>
              <w:ind w:right="0"/>
              <w:jc w:val="center"/>
              <w:rPr>
                <w:color w:val="666666"/>
                <w:sz w:val="22"/>
                <w:szCs w:val="22"/>
              </w:rPr>
            </w:pPr>
            <w:r>
              <w:rPr>
                <w:rFonts w:hint="eastAsia" w:ascii="方正仿宋_GBK" w:hAnsi="方正仿宋_GBK" w:eastAsia="方正仿宋_GBK" w:cs="方正仿宋_GBK"/>
                <w:color w:val="666666"/>
                <w:sz w:val="21"/>
                <w:szCs w:val="21"/>
              </w:rPr>
              <w:t>编制状况</w:t>
            </w:r>
          </w:p>
        </w:tc>
        <w:tc>
          <w:tcPr>
            <w:tcW w:w="450"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60" w:beforeAutospacing="0" w:line="450" w:lineRule="atLeast"/>
              <w:ind w:right="0"/>
              <w:jc w:val="center"/>
              <w:rPr>
                <w:color w:val="666666"/>
                <w:sz w:val="22"/>
                <w:szCs w:val="22"/>
              </w:rPr>
            </w:pPr>
            <w:r>
              <w:rPr>
                <w:rFonts w:hint="eastAsia" w:ascii="方正仿宋_GBK" w:hAnsi="方正仿宋_GBK" w:eastAsia="方正仿宋_GBK" w:cs="方正仿宋_GBK"/>
                <w:color w:val="666666"/>
                <w:sz w:val="21"/>
                <w:szCs w:val="21"/>
              </w:rPr>
              <w:t>主体类别</w:t>
            </w:r>
          </w:p>
        </w:tc>
        <w:tc>
          <w:tcPr>
            <w:tcW w:w="7585"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60" w:beforeAutospacing="0" w:line="450" w:lineRule="atLeast"/>
              <w:ind w:left="0" w:firstLine="420"/>
              <w:jc w:val="center"/>
              <w:rPr>
                <w:color w:val="666666"/>
                <w:sz w:val="22"/>
                <w:szCs w:val="22"/>
              </w:rPr>
            </w:pPr>
            <w:r>
              <w:rPr>
                <w:rFonts w:hint="eastAsia" w:ascii="方正仿宋_GBK" w:hAnsi="方正仿宋_GBK" w:eastAsia="方正仿宋_GBK" w:cs="方正仿宋_GBK"/>
                <w:color w:val="666666"/>
                <w:sz w:val="21"/>
                <w:szCs w:val="21"/>
              </w:rPr>
              <w:t>执法职责和权限</w:t>
            </w:r>
          </w:p>
        </w:tc>
        <w:tc>
          <w:tcPr>
            <w:tcW w:w="781"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60" w:beforeAutospacing="0" w:line="450" w:lineRule="atLeast"/>
              <w:ind w:right="0"/>
              <w:jc w:val="center"/>
              <w:rPr>
                <w:color w:val="666666"/>
                <w:sz w:val="22"/>
                <w:szCs w:val="22"/>
              </w:rPr>
            </w:pPr>
            <w:r>
              <w:rPr>
                <w:rFonts w:hint="eastAsia" w:ascii="方正仿宋_GBK" w:hAnsi="方正仿宋_GBK" w:eastAsia="方正仿宋_GBK" w:cs="方正仿宋_GBK"/>
                <w:color w:val="666666"/>
                <w:sz w:val="21"/>
                <w:szCs w:val="21"/>
              </w:rPr>
              <w:t>法定</w:t>
            </w:r>
          </w:p>
          <w:p>
            <w:pPr>
              <w:pStyle w:val="2"/>
              <w:keepNext w:val="0"/>
              <w:keepLines w:val="0"/>
              <w:widowControl/>
              <w:suppressLineNumbers w:val="0"/>
              <w:spacing w:before="60" w:beforeAutospacing="0" w:line="450" w:lineRule="atLeast"/>
              <w:ind w:right="0"/>
              <w:jc w:val="center"/>
              <w:rPr>
                <w:color w:val="666666"/>
                <w:sz w:val="22"/>
                <w:szCs w:val="22"/>
              </w:rPr>
            </w:pPr>
            <w:r>
              <w:rPr>
                <w:rFonts w:hint="eastAsia" w:ascii="方正仿宋_GBK" w:hAnsi="方正仿宋_GBK" w:eastAsia="方正仿宋_GBK" w:cs="方正仿宋_GBK"/>
                <w:color w:val="666666"/>
                <w:sz w:val="21"/>
                <w:szCs w:val="21"/>
              </w:rPr>
              <w:t>代表人</w:t>
            </w:r>
          </w:p>
        </w:tc>
        <w:tc>
          <w:tcPr>
            <w:tcW w:w="1066"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60" w:beforeAutospacing="0" w:line="450" w:lineRule="atLeast"/>
              <w:ind w:right="0"/>
              <w:jc w:val="center"/>
              <w:rPr>
                <w:color w:val="666666"/>
                <w:sz w:val="22"/>
                <w:szCs w:val="22"/>
              </w:rPr>
            </w:pPr>
            <w:r>
              <w:rPr>
                <w:rFonts w:hint="eastAsia" w:ascii="方正仿宋_GBK" w:hAnsi="方正仿宋_GBK" w:eastAsia="方正仿宋_GBK" w:cs="方正仿宋_GBK"/>
                <w:color w:val="666666"/>
                <w:sz w:val="21"/>
                <w:szCs w:val="21"/>
              </w:rPr>
              <w:t>单位地址</w:t>
            </w:r>
          </w:p>
        </w:tc>
        <w:tc>
          <w:tcPr>
            <w:tcW w:w="1391"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60" w:beforeAutospacing="0" w:line="450" w:lineRule="atLeast"/>
              <w:ind w:left="0" w:right="0" w:firstLine="420"/>
              <w:jc w:val="center"/>
              <w:rPr>
                <w:color w:val="666666"/>
                <w:sz w:val="22"/>
                <w:szCs w:val="22"/>
              </w:rPr>
            </w:pPr>
            <w:r>
              <w:rPr>
                <w:rFonts w:hint="eastAsia" w:ascii="方正仿宋_GBK" w:hAnsi="方正仿宋_GBK" w:eastAsia="方正仿宋_GBK" w:cs="方正仿宋_GBK"/>
                <w:color w:val="666666"/>
                <w:sz w:val="21"/>
                <w:szCs w:val="21"/>
              </w:rPr>
              <w:t>投诉举报电话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755" w:hRule="atLeast"/>
          <w:jc w:val="center"/>
        </w:trPr>
        <w:tc>
          <w:tcPr>
            <w:tcW w:w="690" w:type="dxa"/>
            <w:tcBorders>
              <w:top w:val="single" w:color="auto"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autoSpaceDE w:val="0"/>
              <w:autoSpaceDN/>
              <w:spacing w:line="300" w:lineRule="atLeast"/>
              <w:ind w:left="0" w:firstLine="0"/>
              <w:jc w:val="center"/>
              <w:rPr>
                <w:color w:val="666666"/>
                <w:sz w:val="22"/>
                <w:szCs w:val="22"/>
              </w:rPr>
            </w:pPr>
            <w:r>
              <w:rPr>
                <w:rFonts w:hint="eastAsia" w:ascii="方正仿宋_GBK" w:hAnsi="方正仿宋_GBK" w:eastAsia="方正仿宋_GBK" w:cs="方正仿宋_GBK"/>
                <w:color w:val="666666"/>
                <w:sz w:val="21"/>
                <w:szCs w:val="21"/>
                <w:lang w:eastAsia="zh-CN"/>
              </w:rPr>
              <w:t>青铜峡</w:t>
            </w:r>
            <w:r>
              <w:rPr>
                <w:rFonts w:hint="eastAsia" w:ascii="方正仿宋_GBK" w:hAnsi="方正仿宋_GBK" w:eastAsia="方正仿宋_GBK" w:cs="方正仿宋_GBK"/>
                <w:color w:val="666666"/>
                <w:sz w:val="21"/>
                <w:szCs w:val="21"/>
              </w:rPr>
              <w:t>市财政局</w:t>
            </w:r>
          </w:p>
        </w:tc>
        <w:tc>
          <w:tcPr>
            <w:tcW w:w="540"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autoSpaceDE w:val="0"/>
              <w:autoSpaceDN/>
              <w:spacing w:line="300" w:lineRule="atLeast"/>
              <w:ind w:left="0" w:firstLine="0"/>
              <w:jc w:val="center"/>
              <w:rPr>
                <w:color w:val="666666"/>
                <w:sz w:val="22"/>
                <w:szCs w:val="22"/>
              </w:rPr>
            </w:pPr>
            <w:r>
              <w:rPr>
                <w:rFonts w:hint="eastAsia" w:ascii="方正仿宋_GBK" w:hAnsi="方正仿宋_GBK" w:eastAsia="方正仿宋_GBK" w:cs="方正仿宋_GBK"/>
                <w:color w:val="666666"/>
                <w:sz w:val="21"/>
                <w:szCs w:val="21"/>
              </w:rPr>
              <w:t>行政机关</w:t>
            </w:r>
          </w:p>
        </w:tc>
        <w:tc>
          <w:tcPr>
            <w:tcW w:w="540"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autoSpaceDE w:val="0"/>
              <w:autoSpaceDN/>
              <w:spacing w:line="300" w:lineRule="atLeast"/>
              <w:ind w:left="0" w:firstLine="0"/>
              <w:jc w:val="center"/>
              <w:rPr>
                <w:color w:val="666666"/>
                <w:sz w:val="22"/>
                <w:szCs w:val="22"/>
              </w:rPr>
            </w:pPr>
            <w:r>
              <w:rPr>
                <w:rFonts w:hint="eastAsia" w:ascii="方正仿宋_GBK" w:hAnsi="方正仿宋_GBK" w:eastAsia="方正仿宋_GBK" w:cs="方正仿宋_GBK"/>
                <w:color w:val="666666"/>
                <w:sz w:val="21"/>
                <w:szCs w:val="21"/>
              </w:rPr>
              <w:t>财政拨款</w:t>
            </w:r>
          </w:p>
        </w:tc>
        <w:tc>
          <w:tcPr>
            <w:tcW w:w="916"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autoSpaceDE w:val="0"/>
              <w:autoSpaceDN/>
              <w:spacing w:line="300" w:lineRule="atLeast"/>
              <w:ind w:left="0" w:firstLine="0"/>
              <w:jc w:val="center"/>
              <w:rPr>
                <w:color w:val="666666"/>
                <w:sz w:val="22"/>
                <w:szCs w:val="22"/>
              </w:rPr>
            </w:pPr>
            <w:r>
              <w:rPr>
                <w:rFonts w:hint="eastAsia" w:ascii="方正仿宋_GBK" w:hAnsi="方正仿宋_GBK" w:eastAsia="方正仿宋_GBK" w:cs="方正仿宋_GBK"/>
                <w:color w:val="666666"/>
                <w:sz w:val="21"/>
                <w:szCs w:val="21"/>
              </w:rPr>
              <w:t>执法人员</w:t>
            </w:r>
            <w:r>
              <w:rPr>
                <w:rFonts w:hint="eastAsia" w:ascii="方正仿宋_GBK" w:hAnsi="方正仿宋_GBK" w:eastAsia="方正仿宋_GBK" w:cs="方正仿宋_GBK"/>
                <w:color w:val="666666"/>
                <w:sz w:val="21"/>
                <w:szCs w:val="21"/>
                <w:lang w:val="en-US" w:eastAsia="zh-CN"/>
              </w:rPr>
              <w:t>3</w:t>
            </w:r>
            <w:r>
              <w:rPr>
                <w:rFonts w:hint="eastAsia" w:ascii="方正仿宋_GBK" w:hAnsi="方正仿宋_GBK" w:eastAsia="方正仿宋_GBK" w:cs="方正仿宋_GBK"/>
                <w:color w:val="666666"/>
                <w:sz w:val="21"/>
                <w:szCs w:val="21"/>
              </w:rPr>
              <w:t>3名，其中公务员</w:t>
            </w:r>
            <w:r>
              <w:rPr>
                <w:rFonts w:hint="eastAsia" w:ascii="方正仿宋_GBK" w:hAnsi="方正仿宋_GBK" w:eastAsia="方正仿宋_GBK" w:cs="方正仿宋_GBK"/>
                <w:color w:val="666666"/>
                <w:sz w:val="21"/>
                <w:szCs w:val="21"/>
                <w:lang w:val="en-US" w:eastAsia="zh-CN"/>
              </w:rPr>
              <w:t>9</w:t>
            </w:r>
            <w:r>
              <w:rPr>
                <w:rFonts w:hint="eastAsia" w:ascii="方正仿宋_GBK" w:hAnsi="方正仿宋_GBK" w:eastAsia="方正仿宋_GBK" w:cs="方正仿宋_GBK"/>
                <w:color w:val="666666"/>
                <w:sz w:val="21"/>
                <w:szCs w:val="21"/>
              </w:rPr>
              <w:t>名，事业人员</w:t>
            </w:r>
            <w:r>
              <w:rPr>
                <w:rFonts w:hint="eastAsia" w:ascii="方正仿宋_GBK" w:hAnsi="方正仿宋_GBK" w:eastAsia="方正仿宋_GBK" w:cs="方正仿宋_GBK"/>
                <w:color w:val="666666"/>
                <w:sz w:val="21"/>
                <w:szCs w:val="21"/>
                <w:lang w:val="en-US" w:eastAsia="zh-CN"/>
              </w:rPr>
              <w:t>24</w:t>
            </w:r>
            <w:bookmarkStart w:id="0" w:name="_GoBack"/>
            <w:bookmarkEnd w:id="0"/>
            <w:r>
              <w:rPr>
                <w:rFonts w:hint="eastAsia" w:ascii="方正仿宋_GBK" w:hAnsi="方正仿宋_GBK" w:eastAsia="方正仿宋_GBK" w:cs="方正仿宋_GBK"/>
                <w:color w:val="666666"/>
                <w:sz w:val="21"/>
                <w:szCs w:val="21"/>
              </w:rPr>
              <w:t>名。</w:t>
            </w:r>
          </w:p>
        </w:tc>
        <w:tc>
          <w:tcPr>
            <w:tcW w:w="450"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autoSpaceDE w:val="0"/>
              <w:autoSpaceDN/>
              <w:spacing w:line="300" w:lineRule="atLeast"/>
              <w:ind w:left="0" w:firstLine="0"/>
              <w:jc w:val="center"/>
              <w:rPr>
                <w:color w:val="666666"/>
                <w:sz w:val="22"/>
                <w:szCs w:val="22"/>
              </w:rPr>
            </w:pPr>
            <w:r>
              <w:rPr>
                <w:rFonts w:hint="eastAsia" w:ascii="方正仿宋_GBK" w:hAnsi="方正仿宋_GBK" w:eastAsia="方正仿宋_GBK" w:cs="方正仿宋_GBK"/>
                <w:color w:val="666666"/>
                <w:sz w:val="21"/>
                <w:szCs w:val="21"/>
              </w:rPr>
              <w:t>行政机关</w:t>
            </w:r>
          </w:p>
        </w:tc>
        <w:tc>
          <w:tcPr>
            <w:tcW w:w="7585"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autoSpaceDE w:val="0"/>
              <w:autoSpaceDN/>
              <w:spacing w:line="240" w:lineRule="atLeast"/>
              <w:ind w:left="0" w:firstLine="555"/>
              <w:jc w:val="left"/>
              <w:rPr>
                <w:color w:val="666666"/>
                <w:sz w:val="22"/>
                <w:szCs w:val="22"/>
              </w:rPr>
            </w:pPr>
            <w:r>
              <w:rPr>
                <w:rFonts w:ascii="仿宋_GB2312" w:hAnsi="微软雅黑" w:eastAsia="仿宋_GB2312" w:cs="仿宋_GB2312"/>
                <w:color w:val="666666"/>
                <w:sz w:val="18"/>
                <w:szCs w:val="18"/>
              </w:rPr>
              <w:t>1.行政许可1项：中介机构从事代理记账业务审批。</w:t>
            </w:r>
          </w:p>
          <w:p>
            <w:pPr>
              <w:pStyle w:val="2"/>
              <w:keepNext w:val="0"/>
              <w:keepLines w:val="0"/>
              <w:widowControl/>
              <w:suppressLineNumbers w:val="0"/>
              <w:autoSpaceDE w:val="0"/>
              <w:autoSpaceDN/>
              <w:spacing w:line="240" w:lineRule="atLeast"/>
              <w:ind w:left="0" w:firstLine="555"/>
              <w:jc w:val="left"/>
              <w:rPr>
                <w:color w:val="666666"/>
                <w:sz w:val="22"/>
                <w:szCs w:val="22"/>
              </w:rPr>
            </w:pPr>
            <w:r>
              <w:rPr>
                <w:rFonts w:hint="default" w:ascii="仿宋_GB2312" w:hAnsi="微软雅黑" w:eastAsia="仿宋_GB2312" w:cs="仿宋_GB2312"/>
                <w:color w:val="666666"/>
                <w:sz w:val="18"/>
                <w:szCs w:val="18"/>
              </w:rPr>
              <w:t>2.行政处罚12项：（1）采购人、采购代理机构应当采用公开招标方式而擅自采用其他方式采购的、与供应商或者采购代理机构恶意串通等行为的处罚；（2）供应商提供虚假材料谋取中标、成交的、采取不正当手段诋毁、排挤其他供应商等行为的处罚；（3）投诉人一年内三次以上投诉均查无实据、捏造事实或者提供虚假投诉材料的处罚；（4）中标供应商中标后无正当理由不与采购人或者采购代理机构签订合同等行为的处罚；（5）政府采购评审专家未按照采购文件规定的评审程序、评审方法和评审标准进行独立评审或者泄露评审文件、评审情况、评标委员会成员明知应当回避而未主动回避等行为的处罚；（6）隐瞒应当上缴的财政收入、以虚报、冒领等手段骗取财政资金以及政府承贷或者担保的外国政府贷款、国际金融组织贷款等行为的处罚；（7）单位和个人截留、挪用国家建设资金、违反规定印制财政收入票据、私存私放财政资金或者其他公款等行为的处罚；（8）不依法设置会计账簿、随意改变会计要素的确认和计量标准等行为的处罚；（9）伪造、变造会计凭证、会计账簿，编制虚假财务会计报告、隐匿或者故意销毁依法应当保存的会计凭证、会计账簿、财务会计报告等行为的处罚；（10）外资企业未在企业所在地设置会计账簿，合作企业未在中国境内设置账簿的处罚；（11）企业和企业负有直接责任的主管人员和其他人员未按通则列支成本费用、违反规定截留、隐瞒、侵占企业收入等行为处罚；（12）被监督对象拒绝、阻挠财政部门依法实施监督等行为的处罚。</w:t>
            </w:r>
          </w:p>
          <w:p>
            <w:pPr>
              <w:pStyle w:val="2"/>
              <w:keepNext w:val="0"/>
              <w:keepLines w:val="0"/>
              <w:widowControl/>
              <w:suppressLineNumbers w:val="0"/>
              <w:autoSpaceDE w:val="0"/>
              <w:autoSpaceDN/>
              <w:spacing w:line="240" w:lineRule="atLeast"/>
              <w:ind w:left="0" w:firstLine="555"/>
              <w:jc w:val="left"/>
              <w:rPr>
                <w:color w:val="666666"/>
                <w:sz w:val="22"/>
                <w:szCs w:val="22"/>
              </w:rPr>
            </w:pPr>
            <w:r>
              <w:rPr>
                <w:rFonts w:hint="default" w:ascii="仿宋_GB2312" w:hAnsi="微软雅黑" w:eastAsia="仿宋_GB2312" w:cs="仿宋_GB2312"/>
                <w:color w:val="666666"/>
                <w:sz w:val="18"/>
                <w:szCs w:val="18"/>
              </w:rPr>
              <w:t>3.行政征收1项：政府非税收入征收。</w:t>
            </w:r>
          </w:p>
          <w:p>
            <w:pPr>
              <w:pStyle w:val="2"/>
              <w:keepNext w:val="0"/>
              <w:keepLines w:val="0"/>
              <w:widowControl/>
              <w:suppressLineNumbers w:val="0"/>
              <w:autoSpaceDE w:val="0"/>
              <w:autoSpaceDN/>
              <w:spacing w:line="240" w:lineRule="atLeast"/>
              <w:ind w:left="0" w:firstLine="555"/>
              <w:jc w:val="left"/>
              <w:rPr>
                <w:color w:val="666666"/>
                <w:sz w:val="22"/>
                <w:szCs w:val="22"/>
              </w:rPr>
            </w:pPr>
            <w:r>
              <w:rPr>
                <w:rFonts w:hint="default" w:ascii="仿宋_GB2312" w:hAnsi="微软雅黑" w:eastAsia="仿宋_GB2312" w:cs="仿宋_GB2312"/>
                <w:color w:val="666666"/>
                <w:sz w:val="18"/>
                <w:szCs w:val="18"/>
              </w:rPr>
              <w:t>4.行政检查2项：（1）非税收入监督检查；（2）会计监督检查。</w:t>
            </w:r>
          </w:p>
          <w:p>
            <w:pPr>
              <w:pStyle w:val="2"/>
              <w:keepNext w:val="0"/>
              <w:keepLines w:val="0"/>
              <w:widowControl/>
              <w:suppressLineNumbers w:val="0"/>
              <w:autoSpaceDE w:val="0"/>
              <w:autoSpaceDN/>
              <w:spacing w:line="240" w:lineRule="atLeast"/>
              <w:ind w:left="0" w:firstLine="555"/>
              <w:jc w:val="left"/>
              <w:rPr>
                <w:color w:val="666666"/>
                <w:sz w:val="22"/>
                <w:szCs w:val="22"/>
              </w:rPr>
            </w:pPr>
            <w:r>
              <w:rPr>
                <w:rFonts w:hint="default" w:ascii="仿宋_GB2312" w:hAnsi="微软雅黑" w:eastAsia="仿宋_GB2312" w:cs="仿宋_GB2312"/>
                <w:color w:val="666666"/>
                <w:sz w:val="18"/>
                <w:szCs w:val="18"/>
              </w:rPr>
              <w:t>5.行政裁决1项：政府采购供应商投诉处理。</w:t>
            </w:r>
          </w:p>
        </w:tc>
        <w:tc>
          <w:tcPr>
            <w:tcW w:w="781"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autoSpaceDE w:val="0"/>
              <w:autoSpaceDN/>
              <w:spacing w:line="300" w:lineRule="atLeast"/>
              <w:ind w:left="0" w:firstLine="0"/>
              <w:jc w:val="center"/>
              <w:rPr>
                <w:rFonts w:hint="eastAsia" w:eastAsiaTheme="minorEastAsia"/>
                <w:color w:val="666666"/>
                <w:sz w:val="22"/>
                <w:szCs w:val="22"/>
                <w:lang w:eastAsia="zh-CN"/>
              </w:rPr>
            </w:pPr>
            <w:r>
              <w:rPr>
                <w:rFonts w:hint="eastAsia" w:ascii="方正仿宋_GBK" w:hAnsi="方正仿宋_GBK" w:eastAsia="方正仿宋_GBK" w:cs="方正仿宋_GBK"/>
                <w:color w:val="666666"/>
                <w:sz w:val="21"/>
                <w:szCs w:val="21"/>
                <w:lang w:eastAsia="zh-CN"/>
              </w:rPr>
              <w:t>夏建军</w:t>
            </w:r>
          </w:p>
        </w:tc>
        <w:tc>
          <w:tcPr>
            <w:tcW w:w="1066"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autoSpaceDE w:val="0"/>
              <w:autoSpaceDN/>
              <w:spacing w:line="300" w:lineRule="atLeast"/>
              <w:ind w:left="0" w:firstLine="0"/>
              <w:jc w:val="center"/>
              <w:rPr>
                <w:rFonts w:hint="eastAsia" w:eastAsiaTheme="minorEastAsia"/>
                <w:color w:val="666666"/>
                <w:sz w:val="22"/>
                <w:szCs w:val="22"/>
                <w:lang w:eastAsia="zh-CN"/>
              </w:rPr>
            </w:pPr>
            <w:r>
              <w:rPr>
                <w:rFonts w:hint="eastAsia" w:ascii="方正仿宋_GBK" w:hAnsi="方正仿宋_GBK" w:eastAsia="方正仿宋_GBK" w:cs="方正仿宋_GBK"/>
                <w:color w:val="666666"/>
                <w:sz w:val="21"/>
                <w:szCs w:val="21"/>
                <w:lang w:eastAsia="zh-CN"/>
              </w:rPr>
              <w:t>青铜峡市银河街</w:t>
            </w:r>
            <w:r>
              <w:rPr>
                <w:rFonts w:hint="eastAsia" w:ascii="方正仿宋_GBK" w:hAnsi="方正仿宋_GBK" w:eastAsia="方正仿宋_GBK" w:cs="方正仿宋_GBK"/>
                <w:color w:val="666666"/>
                <w:sz w:val="21"/>
                <w:szCs w:val="21"/>
                <w:lang w:val="en-US" w:eastAsia="zh-CN"/>
              </w:rPr>
              <w:t>9号</w:t>
            </w:r>
          </w:p>
        </w:tc>
        <w:tc>
          <w:tcPr>
            <w:tcW w:w="1391"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autoSpaceDE w:val="0"/>
              <w:autoSpaceDN/>
              <w:spacing w:line="300" w:lineRule="atLeast"/>
              <w:ind w:left="0" w:firstLine="0"/>
              <w:jc w:val="center"/>
              <w:rPr>
                <w:color w:val="666666"/>
                <w:sz w:val="22"/>
                <w:szCs w:val="22"/>
              </w:rPr>
            </w:pPr>
            <w:r>
              <w:rPr>
                <w:rFonts w:hint="eastAsia" w:ascii="方正仿宋_GBK" w:hAnsi="方正仿宋_GBK" w:eastAsia="方正仿宋_GBK" w:cs="方正仿宋_GBK"/>
                <w:color w:val="666666"/>
                <w:sz w:val="21"/>
                <w:szCs w:val="21"/>
              </w:rPr>
              <w:t>095</w:t>
            </w:r>
            <w:r>
              <w:rPr>
                <w:rFonts w:hint="eastAsia" w:ascii="方正仿宋_GBK" w:hAnsi="方正仿宋_GBK" w:eastAsia="方正仿宋_GBK" w:cs="方正仿宋_GBK"/>
                <w:color w:val="666666"/>
                <w:sz w:val="21"/>
                <w:szCs w:val="21"/>
                <w:lang w:val="en-US" w:eastAsia="zh-CN"/>
              </w:rPr>
              <w:t>3</w:t>
            </w:r>
            <w:r>
              <w:rPr>
                <w:rFonts w:hint="eastAsia" w:ascii="方正仿宋_GBK" w:hAnsi="方正仿宋_GBK" w:eastAsia="方正仿宋_GBK" w:cs="方正仿宋_GBK"/>
                <w:color w:val="666666"/>
                <w:sz w:val="21"/>
                <w:szCs w:val="21"/>
              </w:rPr>
              <w:t>-</w:t>
            </w:r>
            <w:r>
              <w:rPr>
                <w:rFonts w:hint="eastAsia" w:ascii="方正仿宋_GBK" w:hAnsi="方正仿宋_GBK" w:eastAsia="方正仿宋_GBK" w:cs="方正仿宋_GBK"/>
                <w:color w:val="666666"/>
                <w:sz w:val="21"/>
                <w:szCs w:val="21"/>
                <w:lang w:val="en-US" w:eastAsia="zh-CN"/>
              </w:rPr>
              <w:t>3050839</w:t>
            </w:r>
          </w:p>
        </w:tc>
      </w:tr>
    </w:tbl>
    <w:p>
      <w:pPr>
        <w:pStyle w:val="2"/>
        <w:keepNext w:val="0"/>
        <w:keepLines w:val="0"/>
        <w:widowControl/>
        <w:suppressLineNumbers w:val="0"/>
        <w:spacing w:before="376" w:beforeAutospacing="0" w:after="0" w:afterAutospacing="0" w:line="450" w:lineRule="atLeast"/>
        <w:ind w:left="0" w:right="0" w:firstLine="420"/>
        <w:jc w:val="left"/>
        <w:rPr>
          <w:color w:val="666666"/>
          <w:sz w:val="22"/>
          <w:szCs w:val="2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57508"/>
    <w:rsid w:val="5B557508"/>
    <w:rsid w:val="7EBD4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 w:type="character" w:customStyle="1" w:styleId="8">
    <w:name w:val="cur"/>
    <w:basedOn w:val="3"/>
    <w:uiPriority w:val="0"/>
    <w:rPr>
      <w:shd w:val="clear" w:fill="F75A5C"/>
    </w:rPr>
  </w:style>
  <w:style w:type="character" w:customStyle="1" w:styleId="9">
    <w:name w:val="cur1"/>
    <w:basedOn w:val="3"/>
    <w:uiPriority w:val="0"/>
    <w:rPr>
      <w:color w:val="FFFFFF"/>
      <w:shd w:val="clear" w:fill="FF3300"/>
    </w:rPr>
  </w:style>
  <w:style w:type="character" w:customStyle="1" w:styleId="10">
    <w:name w:val="cur2"/>
    <w:basedOn w:val="3"/>
    <w:uiPriority w:val="0"/>
    <w:rPr>
      <w:shd w:val="clear" w:fill="CF141B"/>
    </w:rPr>
  </w:style>
  <w:style w:type="character" w:customStyle="1" w:styleId="11">
    <w:name w:val="cur3"/>
    <w:basedOn w:val="3"/>
    <w:uiPriority w:val="0"/>
  </w:style>
  <w:style w:type="character" w:customStyle="1" w:styleId="12">
    <w:name w:val="lt-btn-next"/>
    <w:basedOn w:val="3"/>
    <w:uiPriority w:val="0"/>
    <w:rPr>
      <w:bdr w:val="single" w:color="DFDFDF" w:sz="6" w:space="0"/>
    </w:rPr>
  </w:style>
  <w:style w:type="character" w:customStyle="1" w:styleId="13">
    <w:name w:val="lt-btn-prev"/>
    <w:basedOn w:val="3"/>
    <w:uiPriority w:val="0"/>
    <w:rPr>
      <w:bdr w:val="single" w:color="DFDFDF" w:sz="6" w:space="0"/>
    </w:rPr>
  </w:style>
  <w:style w:type="character" w:customStyle="1" w:styleId="14">
    <w:name w:val="lt-ztbtn-prev"/>
    <w:basedOn w:val="3"/>
    <w:uiPriority w:val="0"/>
  </w:style>
  <w:style w:type="character" w:customStyle="1" w:styleId="15">
    <w:name w:val="lt-ztbtn-n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2022-07-05T07:56:00Z</dcterms:created>
  <dc:creator>qtxczj</dc:creator>
  <cp:lastModifiedBy>qtxczj</cp:lastModifiedBy>
  <dcterms:modified xsi:type="dcterms:W3CDTF">2022-07-05T08:02:15Z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