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吴忠市生态环境局青铜峡分局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年涉企行政执法检查计划</w:t>
      </w:r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备案时间：2026年1月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tbl>
      <w:tblPr>
        <w:tblStyle w:val="7"/>
        <w:tblW w:w="15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9"/>
        <w:gridCol w:w="1591"/>
        <w:gridCol w:w="2801"/>
        <w:gridCol w:w="3888"/>
        <w:gridCol w:w="704"/>
        <w:gridCol w:w="785"/>
        <w:gridCol w:w="1848"/>
        <w:gridCol w:w="1087"/>
        <w:gridCol w:w="1204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检查对象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检查事项</w:t>
            </w:r>
          </w:p>
        </w:tc>
        <w:tc>
          <w:tcPr>
            <w:tcW w:w="388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检查依据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检查方式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</w:t>
            </w: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周期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检查比例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同一企业</w:t>
            </w: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检查频次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可联合检查部门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吴忠市生态环境局</w:t>
            </w:r>
            <w:r>
              <w:rPr>
                <w:rFonts w:hint="eastAsia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青铜峡分局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对重点及一般企业环保设施、环境安全、环境风险进行隐患排查</w:t>
            </w:r>
          </w:p>
        </w:tc>
        <w:tc>
          <w:tcPr>
            <w:tcW w:w="3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生态环境部《突发环境事件应急管理办法》第十二条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35%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对重点及一般企业执法检查（包括废水、废气、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固危废污染源、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排污许可、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在线监控设备运行情况等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《中华人民共和国大气污染防治法》第五条第一款、《中华人民共和国水污染防治法》第九条第一款、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《中华人民共和国固体废物污染环境防治法》第九条第二款、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《排污许可管理条例》第三条第二款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25%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2次/年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规模化以上畜禽养殖行业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对规模化以上畜禽行业的行政检查</w:t>
            </w:r>
          </w:p>
        </w:tc>
        <w:tc>
          <w:tcPr>
            <w:tcW w:w="3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《中华人民共和国固体废物污染环境防治法》第六十五条、《畜禽规模养殖污染防治条例》第五条第一款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青铜峡市农业农村局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医疗机构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对排污许可简化及重点管理的医疗机构的行政检查</w:t>
            </w:r>
          </w:p>
        </w:tc>
        <w:tc>
          <w:tcPr>
            <w:tcW w:w="38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《中华人民共和国固体废物污染环境防治法》第九十条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  <w:t>80%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青铜峡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市卫健委</w:t>
            </w:r>
          </w:p>
        </w:tc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农村污水处理行业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对农村污水处理站的行政检查</w:t>
            </w:r>
          </w:p>
        </w:tc>
        <w:tc>
          <w:tcPr>
            <w:tcW w:w="38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《中华人民共和国水污染防治法》第九条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1月-12月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100%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检查对象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检查事项</w:t>
            </w:r>
          </w:p>
        </w:tc>
        <w:tc>
          <w:tcPr>
            <w:tcW w:w="3888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检查依据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检查方式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</w:t>
            </w: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周期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检查比例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同一企业</w:t>
            </w: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</w:rPr>
              <w:t>检查频次</w:t>
            </w:r>
          </w:p>
        </w:tc>
        <w:tc>
          <w:tcPr>
            <w:tcW w:w="1204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可联合检查部门</w:t>
            </w:r>
          </w:p>
        </w:tc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pacing w:val="-2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吴忠市生态环境局</w:t>
            </w:r>
            <w:r>
              <w:rPr>
                <w:rFonts w:hint="eastAsia" w:eastAsia="黑体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青铜峡分局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pacing w:val="29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重点用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车企业（日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</w:rPr>
              <w:t>用或自有20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辆以上重型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柴油车的单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位，包括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eastAsia="zh-CN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业企业、施工工地、矿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>山、物流公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1"/>
                <w:szCs w:val="21"/>
              </w:rPr>
              <w:t>司等）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pacing w:val="29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对重点用车企业使用车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辆、非道路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  <w:t>移动机械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</w:rPr>
              <w:t>监督帮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  <w:lang w:eastAsia="zh-CN"/>
              </w:rPr>
              <w:t>扶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检查</w:t>
            </w:r>
          </w:p>
        </w:tc>
        <w:tc>
          <w:tcPr>
            <w:tcW w:w="388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eastAsia" w:ascii="Times New Roman" w:hAnsi="Times New Roman" w:eastAsia="仿宋_GB2312" w:cs="Times New Roman"/>
                <w:spacing w:val="1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中华人民共和国大气污染防治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法》</w:t>
            </w:r>
            <w:r>
              <w:rPr>
                <w:rFonts w:hint="eastAsia" w:ascii="Times New Roman" w:hAnsi="Times New Roman" w:eastAsia="仿宋_GB2312" w:cs="Times New Roman"/>
                <w:spacing w:val="-7"/>
                <w:sz w:val="21"/>
                <w:szCs w:val="21"/>
                <w:lang w:eastAsia="zh-CN"/>
              </w:rPr>
              <w:t>第五十六条、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</w:rPr>
              <w:t>《宁夏回族自治区机动车和非道路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移动机械排放污染防治条例》</w:t>
            </w:r>
            <w:r>
              <w:rPr>
                <w:rFonts w:hint="eastAsia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第六条第一款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1"/>
                <w:szCs w:val="21"/>
              </w:rPr>
              <w:t>不超过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position w:val="1"/>
                <w:sz w:val="21"/>
                <w:szCs w:val="21"/>
              </w:rPr>
              <w:t>10%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机动车排放检验机构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对机动车排放检验机构规范检验情况、数据联网情况等的行政检查</w:t>
            </w:r>
          </w:p>
        </w:tc>
        <w:tc>
          <w:tcPr>
            <w:tcW w:w="38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《中华人民共和国大气污染防治法》第五十三条、五十四条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1-12月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1次/季度</w:t>
            </w:r>
          </w:p>
        </w:tc>
        <w:tc>
          <w:tcPr>
            <w:tcW w:w="12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青铜峡市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加油站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对加油站油气回收装置运行、气密性的监督检查</w:t>
            </w:r>
          </w:p>
        </w:tc>
        <w:tc>
          <w:tcPr>
            <w:tcW w:w="38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《中华人民共和国大气污染防治法》第四十七条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1-12月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建成区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53" w:type="dxa"/>
            <w:vMerge w:val="continue"/>
            <w:tcBorders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葡萄酒庄</w:t>
            </w:r>
          </w:p>
        </w:tc>
        <w:tc>
          <w:tcPr>
            <w:tcW w:w="28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vertAlign w:val="baseline"/>
                <w:lang w:eastAsia="zh-CN"/>
              </w:rPr>
              <w:t>葡萄酒庄污水处理设施运行情况</w:t>
            </w:r>
          </w:p>
        </w:tc>
        <w:tc>
          <w:tcPr>
            <w:tcW w:w="38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《中华人民共和国水污染防治法》第九条第一款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1"/>
                <w:szCs w:val="21"/>
                <w:vertAlign w:val="baseline"/>
                <w:lang w:val="en-US" w:eastAsia="zh-CN"/>
              </w:rPr>
              <w:t>1-12月</w:t>
            </w:r>
          </w:p>
        </w:tc>
        <w:tc>
          <w:tcPr>
            <w:tcW w:w="184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1次/年</w:t>
            </w:r>
          </w:p>
        </w:tc>
        <w:tc>
          <w:tcPr>
            <w:tcW w:w="12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>青铜峡市葡萄酒产业发展服务中心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right="0" w:firstLine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7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7A2C"/>
    <w:rsid w:val="088924EF"/>
    <w:rsid w:val="0BA74B41"/>
    <w:rsid w:val="0ECD12F8"/>
    <w:rsid w:val="10981C6E"/>
    <w:rsid w:val="17E86A50"/>
    <w:rsid w:val="1CBD6EA0"/>
    <w:rsid w:val="2A3C6EB3"/>
    <w:rsid w:val="2C2524AE"/>
    <w:rsid w:val="2CF351F5"/>
    <w:rsid w:val="302478DB"/>
    <w:rsid w:val="35613C72"/>
    <w:rsid w:val="3E471BD9"/>
    <w:rsid w:val="3EFB4885"/>
    <w:rsid w:val="4795D9F3"/>
    <w:rsid w:val="4A194AA5"/>
    <w:rsid w:val="50386B21"/>
    <w:rsid w:val="54CC2742"/>
    <w:rsid w:val="55264684"/>
    <w:rsid w:val="615432F6"/>
    <w:rsid w:val="61AB702A"/>
    <w:rsid w:val="65B2169D"/>
    <w:rsid w:val="69BDB291"/>
    <w:rsid w:val="6A653567"/>
    <w:rsid w:val="6BBF81DD"/>
    <w:rsid w:val="6EDA69F2"/>
    <w:rsid w:val="6FD17CF9"/>
    <w:rsid w:val="70DA290F"/>
    <w:rsid w:val="78E96C00"/>
    <w:rsid w:val="79CB17A4"/>
    <w:rsid w:val="79FFF185"/>
    <w:rsid w:val="7DDF1081"/>
    <w:rsid w:val="7FED749B"/>
    <w:rsid w:val="AFDBF391"/>
    <w:rsid w:val="B2FB45E1"/>
    <w:rsid w:val="BF67D1AA"/>
    <w:rsid w:val="D7FC6294"/>
    <w:rsid w:val="DD7C2A7D"/>
    <w:rsid w:val="DF7FCDAD"/>
    <w:rsid w:val="F2DB547E"/>
    <w:rsid w:val="F4FA1DE2"/>
    <w:rsid w:val="F73DE70C"/>
    <w:rsid w:val="F9F7F655"/>
    <w:rsid w:val="FD6FF971"/>
    <w:rsid w:val="FEA7AE31"/>
    <w:rsid w:val="FF4468D2"/>
    <w:rsid w:val="FF75FFB9"/>
    <w:rsid w:val="FF7BEE9B"/>
    <w:rsid w:val="FFEF5BE4"/>
    <w:rsid w:val="FFFFA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160"/>
      <w:ind w:firstLine="0" w:firstLineChars="0"/>
      <w:jc w:val="center"/>
      <w:outlineLvl w:val="1"/>
    </w:pPr>
    <w:rPr>
      <w:rFonts w:ascii="Cambria" w:hAnsi="Cambria" w:eastAsia="楷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1286</Characters>
  <Lines>0</Lines>
  <Paragraphs>0</Paragraphs>
  <TotalTime>0</TotalTime>
  <ScaleCrop>false</ScaleCrop>
  <LinksUpToDate>false</LinksUpToDate>
  <CharactersWithSpaces>1332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2026-01-15T02:49:00Z</dcterms:created>
  <dc:creator>Administrator</dc:creator>
  <cp:lastModifiedBy>qtxs</cp:lastModifiedBy>
  <cp:lastPrinted>2026-01-21T08:08:00Z</cp:lastPrinted>
  <dcterms:modified xsi:type="dcterms:W3CDTF">2026-01-29T14:42:07Z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eyJoZGlkIjoiZmU1NzlhZjAzYWIwYWMwMDk2NGIzOTUwMjFlMDUxODEiLCJ1c2VySWQiOiI0MzUyODczODQifQ==</vt:lpwstr>
  </property>
  <property fmtid="{D5CDD505-2E9C-101B-9397-08002B2CF9AE}" pid="4" name="ICV">
    <vt:lpwstr>56D125BA48193B8677DB7669D786B9AA_43</vt:lpwstr>
  </property>
</Properties>
</file>