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6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63"/>
        <w:gridCol w:w="3465"/>
        <w:gridCol w:w="1137"/>
        <w:gridCol w:w="3690"/>
        <w:gridCol w:w="4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56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ascii="长城小标宋体" w:hAnsi="长城小标宋体" w:eastAsia="长城小标宋体" w:cs="长城小标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宁夏回族自治区审计机关行政处罚裁量权基准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违法</w:t>
            </w:r>
          </w:p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裁量</w:t>
            </w:r>
          </w:p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阶次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适用条件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裁量标准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拒绝或者拖延提供与审计事项有关的资料的，或者提供的资料不真实、不完整的，或者拒绝、阻碍检查的。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《中华人民共和国审计法》第四十七条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被审计单位违反本法规定，拒绝、拖延提供与审计事项有关的资料的，或者提供的资料不真实、不完整的，或者拒绝、阻碍检查、调查、核实有关情况的，由审计机关责令改正，可以通报批评，给予警告；拒不改正的，依法追究法律责任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《中华人民共和国审计法实施条例》第四十七条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被审计单位违反审计法和本条例的规定，拒绝、拖延提供与审计事项有关的资料，或者提供的资料不真实、不完整，或者拒绝、阻碍检查的，由审计机关责令改正，可以通报批评，给予警告；拒不改正的，对被审计单位可以处5万元以下的罚款，对直接负责的主管人员和其他直接责任人员，可以处2万元以下的罚款，审计机关认为应当给予处分的，向有关主管机关、单位提出给予处分的建议；构成犯罪的，依法追究刑事责任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情节轻微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经审计指出后立即改正并主动说明情况，及时提供真实、完整资料，未对审计工作造成实质性影响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的。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不予处罚。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情节较轻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不配合审计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，故意隐匿、拖延提供资料，经审计教育后积极配合，但对审计工作开展造成一定影响的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通报批评，给予警告。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情节较重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改正不及时或者拒不改正，对审计工作开展造成较大影响的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对被审计单位可以处2万元以下的罚款，对直接负责的主管人员和其他直接责任人员，可以处1万元以下的罚款；并可对被审计单位通报批评，给予警告。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情节严重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拒不改正，对审计工作开展造成重大影响、影响审计项目进度、质量或者造成其他不良后果的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对被审计单位可以处2万元以上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5万元以下的罚款，对直接负责的主管人员和其他直接责任人员可以处1万元以上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2万元以下的罚款；并可对被审计单位通报批评，给予警告。</w:t>
            </w:r>
          </w:p>
        </w:tc>
      </w:tr>
    </w:tbl>
    <w:p>
      <w:pPr>
        <w:rPr>
          <w:highlight w:val="none"/>
          <w:u w:val="none"/>
        </w:rPr>
        <w:sectPr>
          <w:pgSz w:w="16838" w:h="11906" w:orient="landscape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tbl>
      <w:tblPr>
        <w:tblStyle w:val="6"/>
        <w:tblW w:w="1456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63"/>
        <w:gridCol w:w="3465"/>
        <w:gridCol w:w="1137"/>
        <w:gridCol w:w="3690"/>
        <w:gridCol w:w="4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违反国家规定的财务收支行为</w:t>
            </w:r>
          </w:p>
        </w:tc>
        <w:tc>
          <w:tcPr>
            <w:tcW w:w="3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《中华人民共和国审计法》第五十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条 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对被审计单位违反国家规定的财务收支行为，审计机关、人民政府或者有关主管机关、单位在法定职权范围内，依照法律、行政法规的规定，区别情况采取前条规定的处理措施，并可以依法给予处罚。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《中华人民共和国审计法实施条例》第四十九条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被审计单位违反国家规定的财务收支行为，审计机关在法定职权范围内，区别情况采取审计法第四十五条规定的处理措施，可以通报批评，给予警告；有违法所得的，没收违法所得，并处违法所得1倍以上5倍以下的罚款；没有违法所得的，可以处5万元以下的罚款；对直接负责的主管人员和其他直接责任人员，可以处2万元以下的罚款，审计机关认为应当给予处分的，向有关主管机关、单位提出给予处分的建议；构成犯罪的，依法追究刑事责任。法律、行政法规对被审计单位违反国家规定的财务收支行为处理、处罚另有规定的，从其规定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情节轻微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对被审计单位违反国家规定的财务收支行为，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违规金额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00万元以下，在检查中能够主动说明情况和提供相关资料，并能积极纠正、整改的。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不予处罚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情节较轻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对被审计单位违反国家规定的财务收支行为，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违规金额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万元以下的。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有违法所得的，没收违法所得，可以并处违法所得1倍以上2倍以下的罚款；没有违法所得的，对被审计单位可以处以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万元以下的罚款；对直接负责的主管人员和其他直接责任人员，可以处以5000以下的罚款；并可对被审计单位通报批评，给予警告。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情节较重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被审计单位违反国家规定的财务收支行为，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违规金额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00万元以下的。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违法所得的，没收违法所得，可以并处违法所得2倍以上3倍以下的罚款；没有违法所得的，对被审计单位可以处以2万元以上3万元以下的罚款；对直接负责的主管人员和其他直接责任人员，可以处以5000元以上1万元以下的罚款；并可对被审计单位通报批评，给予警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情节严重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被审计单位违反国家规定的财务收支行为，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违规金额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00万元的。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违法所得的，没收违法所得，可以并处违法所得3倍以上5倍以下的罚款；没有违法所得的，对被审计单位可以处以3万元以上5万元以下的罚款；对直接负责的主管人员和其他直接责任人员，可以处以1万元以上2万元以下的罚款；并可对被审计单位通报批评，给予警告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pPr>
        <w:rPr>
          <w:rFonts w:hint="default" w:eastAsia="宋体"/>
          <w:lang w:val="en-US" w:eastAsia="zh-CN"/>
        </w:rPr>
        <w:sectPr>
          <w:footerReference r:id="rId3" w:type="default"/>
          <w:pgSz w:w="16838" w:h="11906" w:orient="landscape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21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259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4555490</wp:posOffset>
              </wp:positionH>
              <wp:positionV relativeFrom="paragraph">
                <wp:posOffset>-106680</wp:posOffset>
              </wp:positionV>
              <wp:extent cx="106108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108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8.7pt;margin-top:-8.4pt;height:16.1pt;width:83.55pt;mso-position-horizontal-relative:margin;z-index:251660288;mso-width-relative:page;mso-height-relative:page;" filled="f" stroked="f" coordsize="21600,21600" o:gfxdata="UEsDBAoAAAAAAIdO4kAAAAAAAAAAAAAAAAAEAAAAZHJzL1BLAwQUAAAACACHTuJA/oUElNkAAAAK&#10;AQAADwAAAGRycy9kb3ducmV2LnhtbE2Py07DMBBF90j8gzVI7FrHKG2jEKcLHjueBaR258QmibDH&#10;ke2k5e8ZVrAczdG951bbk7NsNiEOHiWIZQbMYOv1gJ2E97f7RQEsJoVaWY9GwreJsK3PzypVan/E&#10;VzPvUscoBGOpJPQpjSXnse2NU3HpR4P0+/TBqURn6LgO6kjhzvKrLFtzpwakhl6N5qY37dduchLs&#10;PoaHJkuH+bZ7TC/PfPq4E09SXl6I7BpYMqf0B8OvPqlDTU6Nn1BHZiVsxCYnVMJCrGkDEUWRr4A1&#10;hK5y4HXF/0+ofwBQSwMEFAAAAAgAh07iQHAAQ4jDAQAAewMAAA4AAABkcnMvZTJvRG9jLnhtbK1T&#10;wW7bMAy9D+g/CLovdrI2K4w4BYqgxYBhG9D2AxRZjgVIoiAqsfMD2x/stMvu+658xyjFSYfu0kMv&#10;MiWSj3yP9OJmsIbtVEANrubTScmZchIa7TY1f3q8e3/NGUbhGmHAqZrvFfKb5cW7Re8rNYMOTKMC&#10;IxCHVe9r3sXoq6JA2SkrcAJeOXK2EKyIdA2bogmiJ3RrillZzoseQuMDSIVIr6ujk4+I4TWA0LZa&#10;qhXIrVUuHlGDMiISJey0R77M3batkvFr26KKzNScmMZ8UhGy1+kslgtRbYLwnZZjC+I1LbzgZIV2&#10;VPQMtRJRsG3Q/0FZLQMgtHEiwRZHIlkRYjEtX2jz0AmvMheSGv1ZdHw7WPll9y0w3dAmcOaEpYEf&#10;fv44/Ppz+P2dTZM8vceKoh48xcXhFoYUOr4jPSbWQxts+hIfRn4Sd38WVw2RyZRUzqfl9RVnknyz&#10;8vLyY1a/eM72AeO9AsuSUfNAw8uait1njFSRQk8hqZiDO21MHqBxrK/5/MNVmRPOHsowjhITh2Ov&#10;yYrDehgJrKHZEy/zyZGmaT9ORjgZ65Ox9UFvurxAqZcERDPJXY37k4b+7z1HPf8zy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+hQSU2QAAAAoBAAAPAAAAAAAAAAEAIAAAACIAAABkcnMvZG93bnJl&#10;di54bWxQSwECFAAUAAAACACHTuJAcABDiMMBAAB7AwAADgAAAAAAAAABACAAAAAoAQAAZHJzL2Uy&#10;b0RvYy54bWxQSwUGAAAAAAYABgBZAQAAX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GI5MmYxOGVjYTdiMzA5MTUyMWMyOGMxNWVkNzQifQ=="/>
  </w:docVars>
  <w:rsids>
    <w:rsidRoot w:val="00000000"/>
    <w:rsid w:val="03E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30"/>
      <w:szCs w:val="20"/>
      <w:lang w:val="en-US" w:eastAsia="zh-CN" w:bidi="ar"/>
    </w:rPr>
  </w:style>
  <w:style w:type="paragraph" w:styleId="4">
    <w:name w:val="Body Text Indent"/>
    <w:basedOn w:val="1"/>
    <w:qFormat/>
    <w:uiPriority w:val="0"/>
    <w:pPr>
      <w:ind w:firstLine="540"/>
    </w:pPr>
    <w:rPr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2024-01-03T06:57:04Z</dcterms:created>
  <dc:creator>安媛</dc:creator>
  <cp:lastModifiedBy>.</cp:lastModifiedBy>
  <dcterms:modified xsi:type="dcterms:W3CDTF">2024-01-03T07:06:50Z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4F1319EB47354B75970F271B23293AD0_12</vt:lpwstr>
  </property>
</Properties>
</file>