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9D4C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14:paraId="794EDC67">
      <w:pPr>
        <w:keepNext w:val="0"/>
        <w:keepLines w:val="0"/>
        <w:pageBreakBefore w:val="0"/>
        <w:widowControl/>
        <w:shd w:val="clea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shd w:val="clear" w:color="auto" w:fill="auto"/>
        </w:rPr>
      </w:pPr>
      <w:r>
        <w:rPr>
          <w:rFonts w:hint="eastAsia" w:ascii="方正小标宋_GBK" w:hAnsi="方正小标宋_GBK" w:eastAsia="方正小标宋_GBK" w:cs="方正小标宋_GBK"/>
          <w:b w:val="0"/>
          <w:bCs w:val="0"/>
          <w:sz w:val="44"/>
          <w:szCs w:val="44"/>
          <w:shd w:val="clear" w:color="auto" w:fill="auto"/>
        </w:rPr>
        <w:t>青铜峡市2026年农业新机械引进改制与熟化应用项目绩效考核方案</w:t>
      </w:r>
    </w:p>
    <w:p w14:paraId="1D61B29F">
      <w:pPr>
        <w:pStyle w:val="2"/>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p>
    <w:p w14:paraId="63B114C1">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0"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仿宋_GBK" w:hAnsi="方正仿宋_GBK" w:eastAsia="方正仿宋_GBK" w:cs="方正仿宋_GBK"/>
          <w:color w:val="auto"/>
          <w:kern w:val="2"/>
          <w:sz w:val="34"/>
          <w:szCs w:val="34"/>
          <w:lang w:val="en-US" w:eastAsia="zh-CN" w:bidi="ar-SA"/>
        </w:rPr>
        <w:t>为进一步规范农业新机械引进改制与熟化应用项目绩效考核工作，客观、真实地反映项目实施情况，按照国家和自治区有关预算项目绩效管理的要求，制订本考核方案。</w:t>
      </w:r>
    </w:p>
    <w:p w14:paraId="75EAC9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eastAsia" w:ascii="黑体" w:hAnsi="黑体" w:eastAsia="黑体" w:cs="黑体"/>
          <w:b w:val="0"/>
          <w:bCs/>
          <w:sz w:val="34"/>
          <w:szCs w:val="34"/>
        </w:rPr>
      </w:pPr>
      <w:r>
        <w:rPr>
          <w:rFonts w:hint="eastAsia" w:ascii="黑体" w:hAnsi="黑体" w:eastAsia="黑体" w:cs="黑体"/>
          <w:b w:val="0"/>
          <w:bCs/>
          <w:sz w:val="34"/>
          <w:szCs w:val="34"/>
        </w:rPr>
        <w:t>一、考核依据</w:t>
      </w:r>
    </w:p>
    <w:p w14:paraId="25C36EB4">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0"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仿宋_GBK" w:hAnsi="方正仿宋_GBK" w:eastAsia="方正仿宋_GBK" w:cs="方正仿宋_GBK"/>
          <w:color w:val="auto"/>
          <w:kern w:val="2"/>
          <w:sz w:val="34"/>
          <w:szCs w:val="34"/>
          <w:lang w:val="en-US" w:eastAsia="zh-CN" w:bidi="ar-SA"/>
        </w:rPr>
        <w:t>绩效考核工作严格遵守国家和自治区有关法律法规和相关政策要求。</w:t>
      </w:r>
    </w:p>
    <w:p w14:paraId="5862255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83"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楷体_GBK" w:hAnsi="方正楷体_GBK" w:eastAsia="方正楷体_GBK" w:cs="方正楷体_GBK"/>
          <w:b/>
          <w:bCs/>
          <w:color w:val="auto"/>
          <w:kern w:val="2"/>
          <w:sz w:val="34"/>
          <w:szCs w:val="34"/>
          <w:lang w:val="en-US" w:eastAsia="zh-CN" w:bidi="ar-SA"/>
        </w:rPr>
        <w:t>（一）农业机械化工作相关文件。</w:t>
      </w:r>
      <w:r>
        <w:rPr>
          <w:rFonts w:hint="eastAsia" w:ascii="方正仿宋_GBK" w:hAnsi="方正仿宋_GBK" w:eastAsia="方正仿宋_GBK" w:cs="方正仿宋_GBK"/>
          <w:color w:val="auto"/>
          <w:kern w:val="2"/>
          <w:sz w:val="34"/>
          <w:szCs w:val="34"/>
          <w:lang w:val="en-US" w:eastAsia="zh-CN" w:bidi="ar-SA"/>
        </w:rPr>
        <w:t>自</w:t>
      </w:r>
      <w:r>
        <w:rPr>
          <w:rFonts w:hint="default" w:ascii="Times New Roman" w:hAnsi="Times New Roman" w:eastAsia="方正仿宋_GBK" w:cs="Times New Roman"/>
          <w:color w:val="auto"/>
          <w:kern w:val="2"/>
          <w:sz w:val="34"/>
          <w:szCs w:val="34"/>
          <w:lang w:val="en-US" w:eastAsia="zh-CN" w:bidi="ar-SA"/>
        </w:rPr>
        <w:t>治区农业农村厅《自治区农业农村厅关于印发</w:t>
      </w:r>
      <w:r>
        <w:rPr>
          <w:rFonts w:hint="eastAsia" w:ascii="Times New Roman" w:hAnsi="Times New Roman" w:eastAsia="方正仿宋_GBK" w:cs="Times New Roman"/>
          <w:color w:val="auto"/>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2026年农业机械化提升工程项目总体实施方案</w:t>
      </w:r>
      <w:r>
        <w:rPr>
          <w:rFonts w:hint="eastAsia" w:ascii="Times New Roman" w:hAnsi="Times New Roman" w:eastAsia="方正仿宋_GBK" w:cs="Times New Roman"/>
          <w:color w:val="auto"/>
          <w:kern w:val="2"/>
          <w:sz w:val="34"/>
          <w:szCs w:val="34"/>
          <w:lang w:val="en-US" w:eastAsia="zh-CN" w:bidi="ar-SA"/>
        </w:rPr>
        <w:t>〉的通知》</w:t>
      </w:r>
      <w:r>
        <w:rPr>
          <w:rFonts w:hint="default" w:ascii="Times New Roman" w:hAnsi="Times New Roman" w:eastAsia="方正仿宋_GBK" w:cs="Times New Roman"/>
          <w:color w:val="auto"/>
          <w:kern w:val="2"/>
          <w:sz w:val="34"/>
          <w:szCs w:val="34"/>
          <w:lang w:val="en-US" w:eastAsia="zh-CN" w:bidi="ar-SA"/>
        </w:rPr>
        <w:t>（</w:t>
      </w:r>
      <w:r>
        <w:rPr>
          <w:rFonts w:hint="default" w:ascii="方正楷体_GB2312" w:hAnsi="方正楷体_GB2312" w:eastAsia="方正楷体_GB2312" w:cs="方正楷体_GB2312"/>
          <w:kern w:val="2"/>
          <w:sz w:val="34"/>
          <w:szCs w:val="34"/>
          <w:lang w:val="en-US" w:eastAsia="zh-CN" w:bidi="ar-SA"/>
        </w:rPr>
        <w:t>宁农（机）发</w:t>
      </w:r>
      <w:r>
        <w:rPr>
          <w:rFonts w:hint="default" w:ascii="Times New Roman" w:hAnsi="Times New Roman" w:eastAsia="方正仿宋_GBK" w:cs="Times New Roman"/>
          <w:kern w:val="2"/>
          <w:sz w:val="34"/>
          <w:szCs w:val="34"/>
          <w:lang w:val="en-US" w:eastAsia="zh-CN" w:bidi="ar-SA"/>
        </w:rPr>
        <w:t>〔2026〕1</w:t>
      </w:r>
      <w:r>
        <w:rPr>
          <w:rFonts w:hint="eastAsia"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color w:val="auto"/>
          <w:kern w:val="2"/>
          <w:sz w:val="34"/>
          <w:szCs w:val="34"/>
          <w:lang w:val="en-US" w:eastAsia="zh-CN" w:bidi="ar-SA"/>
        </w:rPr>
        <w:t>），宁夏农业机械化推广站</w:t>
      </w:r>
      <w:r>
        <w:rPr>
          <w:rFonts w:hint="default" w:ascii="Times New Roman" w:hAnsi="Times New Roman" w:eastAsia="方正仿宋_GBK" w:cs="Times New Roman"/>
          <w:i w:val="0"/>
          <w:iCs w:val="0"/>
          <w:caps w:val="0"/>
          <w:color w:val="000000"/>
          <w:spacing w:val="0"/>
          <w:sz w:val="34"/>
          <w:szCs w:val="34"/>
          <w:shd w:val="clear" w:color="auto" w:fill="FFFFFF"/>
          <w:lang w:val="en-US" w:eastAsia="zh-CN"/>
        </w:rPr>
        <w:t>《关于印发</w:t>
      </w:r>
      <w:r>
        <w:rPr>
          <w:rFonts w:hint="eastAsia" w:ascii="Times New Roman" w:hAnsi="Times New Roman" w:eastAsia="方正仿宋_GBK" w:cs="Times New Roman"/>
          <w:i w:val="0"/>
          <w:iCs w:val="0"/>
          <w:caps w:val="0"/>
          <w:color w:val="000000"/>
          <w:spacing w:val="0"/>
          <w:sz w:val="34"/>
          <w:szCs w:val="34"/>
          <w:shd w:val="clear" w:color="auto" w:fill="FFFFFF"/>
          <w:lang w:val="en-US" w:eastAsia="zh-CN"/>
        </w:rPr>
        <w:t>〈</w:t>
      </w:r>
      <w:r>
        <w:rPr>
          <w:rFonts w:hint="default" w:ascii="Times New Roman" w:hAnsi="Times New Roman" w:eastAsia="方正仿宋_GBK" w:cs="Times New Roman"/>
          <w:i w:val="0"/>
          <w:iCs w:val="0"/>
          <w:caps w:val="0"/>
          <w:color w:val="000000"/>
          <w:spacing w:val="0"/>
          <w:sz w:val="34"/>
          <w:szCs w:val="34"/>
          <w:shd w:val="clear" w:color="auto" w:fill="FFFFFF"/>
          <w:lang w:val="en-US" w:eastAsia="zh-CN"/>
        </w:rPr>
        <w:t>2026年农业新机械引进改制与熟化应用项目实施总体方案</w:t>
      </w:r>
      <w:r>
        <w:rPr>
          <w:rFonts w:hint="eastAsia" w:ascii="Times New Roman" w:hAnsi="Times New Roman" w:eastAsia="方正仿宋_GBK" w:cs="Times New Roman"/>
          <w:i w:val="0"/>
          <w:iCs w:val="0"/>
          <w:caps w:val="0"/>
          <w:color w:val="000000"/>
          <w:spacing w:val="0"/>
          <w:sz w:val="34"/>
          <w:szCs w:val="34"/>
          <w:shd w:val="clear" w:color="auto" w:fill="FFFFFF"/>
          <w:lang w:val="en-US" w:eastAsia="zh-CN"/>
        </w:rPr>
        <w:t>〉的通知》</w:t>
      </w:r>
      <w:r>
        <w:rPr>
          <w:rFonts w:hint="default" w:ascii="Times New Roman" w:hAnsi="Times New Roman" w:eastAsia="方正仿宋_GBK" w:cs="Times New Roman"/>
          <w:i w:val="0"/>
          <w:iCs w:val="0"/>
          <w:caps w:val="0"/>
          <w:color w:val="000000"/>
          <w:spacing w:val="0"/>
          <w:sz w:val="34"/>
          <w:szCs w:val="34"/>
          <w:shd w:val="clear" w:color="auto" w:fill="FFFFFF"/>
          <w:lang w:val="en-US" w:eastAsia="zh-CN"/>
        </w:rPr>
        <w:t>（</w:t>
      </w:r>
      <w:r>
        <w:rPr>
          <w:rFonts w:hint="default" w:ascii="方正楷体_GB2312" w:hAnsi="方正楷体_GB2312" w:eastAsia="方正楷体_GB2312" w:cs="方正楷体_GB2312"/>
          <w:kern w:val="2"/>
          <w:sz w:val="34"/>
          <w:szCs w:val="34"/>
          <w:lang w:val="en-US" w:eastAsia="zh-CN" w:bidi="ar-SA"/>
        </w:rPr>
        <w:t>宁农机（推）发</w:t>
      </w:r>
      <w:r>
        <w:rPr>
          <w:rFonts w:hint="default" w:ascii="Times New Roman" w:hAnsi="Times New Roman" w:eastAsia="方正仿宋_GBK" w:cs="Times New Roman"/>
          <w:kern w:val="2"/>
          <w:sz w:val="34"/>
          <w:szCs w:val="34"/>
          <w:lang w:val="en-US" w:eastAsia="zh-CN" w:bidi="ar-SA"/>
        </w:rPr>
        <w:t>〔2026〕3</w:t>
      </w:r>
      <w:r>
        <w:rPr>
          <w:rFonts w:hint="default"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i w:val="0"/>
          <w:iCs w:val="0"/>
          <w:caps w:val="0"/>
          <w:color w:val="000000"/>
          <w:spacing w:val="0"/>
          <w:sz w:val="34"/>
          <w:szCs w:val="34"/>
          <w:shd w:val="clear" w:color="auto" w:fill="FFFFFF"/>
          <w:lang w:val="en-US" w:eastAsia="zh-CN"/>
        </w:rPr>
        <w:t>）。</w:t>
      </w:r>
    </w:p>
    <w:p w14:paraId="01199CC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83"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楷体_GBK" w:hAnsi="方正楷体_GBK" w:eastAsia="方正楷体_GBK" w:cs="方正楷体_GBK"/>
          <w:b/>
          <w:bCs/>
          <w:color w:val="auto"/>
          <w:kern w:val="2"/>
          <w:sz w:val="34"/>
          <w:szCs w:val="34"/>
          <w:lang w:val="en-US" w:eastAsia="zh-CN" w:bidi="ar-SA"/>
        </w:rPr>
        <w:t>（二）绩效考核相关文件。</w:t>
      </w:r>
      <w:r>
        <w:rPr>
          <w:rFonts w:hint="default" w:ascii="Times New Roman" w:hAnsi="Times New Roman" w:eastAsia="方正仿宋_GBK" w:cs="Times New Roman"/>
          <w:color w:val="auto"/>
          <w:kern w:val="2"/>
          <w:sz w:val="34"/>
          <w:szCs w:val="34"/>
          <w:lang w:val="en-US" w:eastAsia="zh-CN" w:bidi="ar-SA"/>
        </w:rPr>
        <w:t>自治区财政厅、农业农村厅《关于印发宁夏回族自治区中央和自治区农业相关转移支付资金绩效管理实施细则的通知》</w:t>
      </w:r>
      <w:r>
        <w:rPr>
          <w:rFonts w:hint="default" w:ascii="Times New Roman" w:hAnsi="Times New Roman" w:eastAsia="方正仿宋_GBK" w:cs="Times New Roman"/>
          <w:kern w:val="2"/>
          <w:sz w:val="34"/>
          <w:szCs w:val="34"/>
          <w:lang w:val="en-US" w:eastAsia="zh-CN" w:bidi="ar-SA"/>
        </w:rPr>
        <w:t>（</w:t>
      </w:r>
      <w:r>
        <w:rPr>
          <w:rFonts w:hint="default" w:ascii="方正楷体_GB2312" w:hAnsi="方正楷体_GB2312" w:eastAsia="方正楷体_GB2312" w:cs="方正楷体_GB2312"/>
          <w:kern w:val="2"/>
          <w:sz w:val="34"/>
          <w:szCs w:val="34"/>
          <w:lang w:val="en-US" w:eastAsia="zh-CN" w:bidi="ar-SA"/>
        </w:rPr>
        <w:t>宁财（农）发</w:t>
      </w:r>
      <w:r>
        <w:rPr>
          <w:rFonts w:hint="default" w:ascii="Times New Roman" w:hAnsi="Times New Roman" w:eastAsia="方正仿宋_GBK" w:cs="Times New Roman"/>
          <w:kern w:val="2"/>
          <w:sz w:val="34"/>
          <w:szCs w:val="34"/>
          <w:lang w:val="en-US" w:eastAsia="zh-CN" w:bidi="ar-SA"/>
        </w:rPr>
        <w:t>〔2020〕261</w:t>
      </w:r>
      <w:r>
        <w:rPr>
          <w:rFonts w:hint="default"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，自治区农业农村厅《关于印发〈项目支出预算管理暂行办法〉、〈预算绩效管理考评暂行办法〉、〈国有资产管理暂行办法〉、〈内部审计工作暂行规定〉的通知》</w:t>
      </w:r>
      <w:r>
        <w:rPr>
          <w:rFonts w:hint="default" w:ascii="Times New Roman" w:hAnsi="Times New Roman" w:eastAsia="方正仿宋_GBK" w:cs="Times New Roman"/>
          <w:kern w:val="2"/>
          <w:sz w:val="34"/>
          <w:szCs w:val="34"/>
          <w:lang w:val="en-US" w:eastAsia="zh-CN" w:bidi="ar-SA"/>
        </w:rPr>
        <w:t>（</w:t>
      </w:r>
      <w:r>
        <w:rPr>
          <w:rFonts w:hint="default" w:ascii="方正楷体_GB2312" w:hAnsi="方正楷体_GB2312" w:eastAsia="方正楷体_GB2312" w:cs="方正楷体_GB2312"/>
          <w:kern w:val="2"/>
          <w:sz w:val="34"/>
          <w:szCs w:val="34"/>
          <w:lang w:val="en-US" w:eastAsia="zh-CN" w:bidi="ar-SA"/>
        </w:rPr>
        <w:t>宁农（计）发</w:t>
      </w:r>
      <w:r>
        <w:rPr>
          <w:rFonts w:hint="default" w:ascii="Times New Roman" w:hAnsi="Times New Roman" w:eastAsia="方正仿宋_GBK" w:cs="Times New Roman"/>
          <w:kern w:val="2"/>
          <w:sz w:val="34"/>
          <w:szCs w:val="34"/>
          <w:lang w:val="en-US" w:eastAsia="zh-CN" w:bidi="ar-SA"/>
        </w:rPr>
        <w:t>〔2021〕35</w:t>
      </w:r>
      <w:r>
        <w:rPr>
          <w:rFonts w:hint="default"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w:t>
      </w:r>
    </w:p>
    <w:p w14:paraId="00E0B17E">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sz w:val="34"/>
          <w:szCs w:val="34"/>
        </w:rPr>
      </w:pPr>
      <w:r>
        <w:rPr>
          <w:rFonts w:hint="eastAsia" w:ascii="方正楷体_GBK" w:hAnsi="方正楷体_GBK" w:eastAsia="方正楷体_GBK" w:cs="方正楷体_GBK"/>
          <w:b/>
          <w:bCs/>
          <w:color w:val="auto"/>
          <w:kern w:val="2"/>
          <w:sz w:val="34"/>
          <w:szCs w:val="34"/>
          <w:lang w:val="en-US" w:eastAsia="zh-CN" w:bidi="ar-SA"/>
        </w:rPr>
        <w:t>（三）资金管理相关文件。</w:t>
      </w:r>
      <w:r>
        <w:rPr>
          <w:rFonts w:hint="eastAsia" w:ascii="方正仿宋_GBK" w:hAnsi="方正仿宋_GBK" w:eastAsia="方正仿宋_GBK" w:cs="方正仿宋_GBK"/>
          <w:color w:val="auto"/>
          <w:kern w:val="2"/>
          <w:sz w:val="34"/>
          <w:szCs w:val="34"/>
          <w:lang w:val="en-US" w:eastAsia="zh-CN" w:bidi="ar-SA"/>
        </w:rPr>
        <w:t>自治区财政厅、农业农村厅《关于印发农业相关转移支付资</w:t>
      </w:r>
      <w:r>
        <w:rPr>
          <w:rFonts w:hint="default" w:ascii="Times New Roman" w:hAnsi="Times New Roman" w:eastAsia="方正仿宋_GBK" w:cs="Times New Roman"/>
          <w:color w:val="auto"/>
          <w:kern w:val="2"/>
          <w:sz w:val="34"/>
          <w:szCs w:val="34"/>
          <w:lang w:val="en-US" w:eastAsia="zh-CN" w:bidi="ar-SA"/>
        </w:rPr>
        <w:t>金管理实施细则的通知》</w:t>
      </w:r>
      <w:r>
        <w:rPr>
          <w:rFonts w:hint="default" w:ascii="Times New Roman" w:hAnsi="Times New Roman" w:eastAsia="方正仿宋_GBK" w:cs="Times New Roman"/>
          <w:kern w:val="2"/>
          <w:sz w:val="34"/>
          <w:szCs w:val="34"/>
          <w:lang w:val="en-US" w:eastAsia="zh-CN" w:bidi="ar-SA"/>
        </w:rPr>
        <w:t>（</w:t>
      </w:r>
      <w:r>
        <w:rPr>
          <w:rFonts w:hint="eastAsia" w:ascii="方正楷体_GBK" w:hAnsi="方正楷体_GBK" w:eastAsia="方正楷体_GBK" w:cs="方正楷体_GBK"/>
          <w:kern w:val="2"/>
          <w:sz w:val="34"/>
          <w:szCs w:val="34"/>
          <w:lang w:val="en-US" w:eastAsia="zh-CN" w:bidi="ar-SA"/>
        </w:rPr>
        <w:t>宁财规</w:t>
      </w:r>
      <w:r>
        <w:rPr>
          <w:rFonts w:hint="default" w:ascii="Times New Roman" w:hAnsi="Times New Roman" w:eastAsia="方正仿宋_GBK" w:cs="Times New Roman"/>
          <w:kern w:val="2"/>
          <w:sz w:val="34"/>
          <w:szCs w:val="34"/>
          <w:lang w:val="en-US" w:eastAsia="zh-CN" w:bidi="ar-SA"/>
        </w:rPr>
        <w:t>〔2022〕21</w:t>
      </w:r>
      <w:r>
        <w:rPr>
          <w:rFonts w:hint="eastAsia" w:ascii="方正楷体_GBK" w:hAnsi="方正楷体_GBK" w:eastAsia="方正楷体_GBK" w:cs="方正楷体_GBK"/>
          <w:kern w:val="2"/>
          <w:sz w:val="34"/>
          <w:szCs w:val="34"/>
          <w:lang w:val="en-US" w:eastAsia="zh-CN" w:bidi="ar-SA"/>
        </w:rPr>
        <w:t>号</w:t>
      </w:r>
      <w:r>
        <w:rPr>
          <w:rFonts w:hint="default" w:ascii="Times New Roman" w:hAnsi="Times New Roman" w:eastAsia="方正仿宋_GBK" w:cs="Times New Roman"/>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w:t>
      </w:r>
    </w:p>
    <w:p w14:paraId="21F075BC">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（四）其他文件。</w:t>
      </w:r>
      <w:r>
        <w:rPr>
          <w:rFonts w:hint="default" w:ascii="Times New Roman" w:hAnsi="Times New Roman" w:eastAsia="方正仿宋_GBK" w:cs="Times New Roman"/>
          <w:sz w:val="34"/>
          <w:szCs w:val="34"/>
          <w:lang w:val="en-US" w:eastAsia="zh-CN"/>
        </w:rPr>
        <w:t>《</w:t>
      </w:r>
      <w:r>
        <w:rPr>
          <w:rFonts w:hint="default" w:ascii="Times New Roman" w:hAnsi="Times New Roman" w:eastAsia="方正仿宋_GBK" w:cs="Times New Roman"/>
          <w:color w:val="auto"/>
          <w:kern w:val="2"/>
          <w:sz w:val="34"/>
          <w:szCs w:val="34"/>
          <w:lang w:val="en-US" w:eastAsia="zh-CN" w:bidi="ar-SA"/>
        </w:rPr>
        <w:t>青铜峡市2026年农业新机械改制与熟化应用项目实施方案》</w:t>
      </w:r>
    </w:p>
    <w:p w14:paraId="21EF30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default" w:ascii="Times New Roman" w:hAnsi="Times New Roman" w:eastAsia="黑体" w:cs="Times New Roman"/>
          <w:b w:val="0"/>
          <w:bCs/>
          <w:sz w:val="34"/>
          <w:szCs w:val="34"/>
          <w:lang w:val="en-US" w:eastAsia="zh-CN"/>
        </w:rPr>
      </w:pPr>
      <w:r>
        <w:rPr>
          <w:rFonts w:hint="default" w:ascii="Times New Roman" w:hAnsi="Times New Roman" w:eastAsia="黑体" w:cs="Times New Roman"/>
          <w:b w:val="0"/>
          <w:bCs/>
          <w:sz w:val="34"/>
          <w:szCs w:val="34"/>
          <w:lang w:val="en-US" w:eastAsia="zh-CN"/>
        </w:rPr>
        <w:t>二、考核原则</w:t>
      </w:r>
    </w:p>
    <w:p w14:paraId="6820D1D2">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（一）科学可行、严谨规范。</w:t>
      </w:r>
      <w:r>
        <w:rPr>
          <w:rFonts w:hint="default" w:ascii="Times New Roman" w:hAnsi="Times New Roman" w:eastAsia="方正仿宋_GBK" w:cs="Times New Roman"/>
          <w:color w:val="auto"/>
          <w:kern w:val="2"/>
          <w:sz w:val="34"/>
          <w:szCs w:val="34"/>
          <w:lang w:val="en-US" w:eastAsia="zh-CN" w:bidi="ar-SA"/>
        </w:rPr>
        <w:t>按照公平、公正、公开的要求，科学制定绩效评价程序、内容，量化考核指标，全面、准确开展绩效评价，客观、真实反映考核结果，并以适当形式公布，自觉接受监督。</w:t>
      </w:r>
    </w:p>
    <w:p w14:paraId="7B733867">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（二）简便易行、突出重点。</w:t>
      </w:r>
      <w:r>
        <w:rPr>
          <w:rFonts w:hint="default" w:ascii="Times New Roman" w:hAnsi="Times New Roman" w:eastAsia="方正仿宋_GBK" w:cs="Times New Roman"/>
          <w:color w:val="auto"/>
          <w:kern w:val="2"/>
          <w:sz w:val="34"/>
          <w:szCs w:val="34"/>
          <w:lang w:val="en-US" w:eastAsia="zh-CN" w:bidi="ar-SA"/>
        </w:rPr>
        <w:t>绩效指标要具备权威性和代表性，尽量量化并合理赋分，便于操作和衡量，不能量化要定性说明。在全面考核的基础上，要加大对重点工作的考核力度，有效实现绩效综合评价。</w:t>
      </w:r>
    </w:p>
    <w:p w14:paraId="3A8489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default" w:ascii="Times New Roman" w:hAnsi="Times New Roman" w:eastAsia="黑体" w:cs="Times New Roman"/>
          <w:b w:val="0"/>
          <w:bCs/>
          <w:sz w:val="34"/>
          <w:szCs w:val="34"/>
          <w:lang w:val="en-US" w:eastAsia="zh-CN"/>
        </w:rPr>
      </w:pPr>
      <w:r>
        <w:rPr>
          <w:rFonts w:hint="default" w:ascii="Times New Roman" w:hAnsi="Times New Roman" w:eastAsia="黑体" w:cs="Times New Roman"/>
          <w:b w:val="0"/>
          <w:bCs/>
          <w:sz w:val="34"/>
          <w:szCs w:val="34"/>
          <w:lang w:val="en-US" w:eastAsia="zh-CN"/>
        </w:rPr>
        <w:t>三、考核对象、内容、方式和时间安排</w:t>
      </w:r>
    </w:p>
    <w:p w14:paraId="5905BF85">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bCs/>
          <w:color w:val="000000"/>
          <w:w w:val="95"/>
          <w:kern w:val="0"/>
          <w:sz w:val="34"/>
          <w:szCs w:val="34"/>
          <w:lang w:eastAsia="zh-CN"/>
        </w:rPr>
      </w:pPr>
      <w:r>
        <w:rPr>
          <w:rFonts w:hint="default" w:ascii="Times New Roman" w:hAnsi="Times New Roman" w:eastAsia="方正楷体_GBK" w:cs="Times New Roman"/>
          <w:b/>
          <w:bCs/>
          <w:color w:val="auto"/>
          <w:kern w:val="2"/>
          <w:sz w:val="34"/>
          <w:szCs w:val="34"/>
          <w:lang w:val="en-US" w:eastAsia="zh-CN" w:bidi="ar-SA"/>
        </w:rPr>
        <w:t>（一）考核对象。</w:t>
      </w:r>
      <w:r>
        <w:rPr>
          <w:rFonts w:hint="default" w:ascii="Times New Roman" w:hAnsi="Times New Roman" w:eastAsia="方正仿宋_GBK" w:cs="Times New Roman"/>
          <w:color w:val="auto"/>
          <w:kern w:val="2"/>
          <w:sz w:val="34"/>
          <w:szCs w:val="34"/>
          <w:lang w:val="en-US" w:eastAsia="zh-CN" w:bidi="ar-SA"/>
        </w:rPr>
        <w:t>考核对象为</w:t>
      </w:r>
      <w:r>
        <w:rPr>
          <w:rFonts w:hint="default" w:ascii="Times New Roman" w:hAnsi="Times New Roman" w:eastAsia="方正仿宋_GBK" w:cs="Times New Roman"/>
          <w:bCs/>
          <w:color w:val="000000"/>
          <w:w w:val="95"/>
          <w:kern w:val="0"/>
          <w:sz w:val="34"/>
          <w:szCs w:val="34"/>
          <w:lang w:eastAsia="zh-CN"/>
        </w:rPr>
        <w:t>项目牵头企业</w:t>
      </w:r>
    </w:p>
    <w:p w14:paraId="6728178F">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（二）考核内容。</w:t>
      </w:r>
      <w:r>
        <w:rPr>
          <w:rFonts w:hint="default" w:ascii="Times New Roman" w:hAnsi="Times New Roman" w:eastAsia="方正仿宋_GBK" w:cs="Times New Roman"/>
          <w:color w:val="auto"/>
          <w:kern w:val="2"/>
          <w:sz w:val="34"/>
          <w:szCs w:val="34"/>
          <w:lang w:val="en-US" w:eastAsia="zh-CN" w:bidi="ar-SA"/>
        </w:rPr>
        <w:t>针对2026年农业新机械引进改制与熟化应用项目实施情况进行绩效考核，考核实行百分制，包括</w:t>
      </w:r>
      <w:r>
        <w:rPr>
          <w:rFonts w:hint="eastAsia" w:ascii="Times New Roman" w:hAnsi="Times New Roman" w:eastAsia="方正仿宋_GBK" w:cs="Times New Roman"/>
          <w:color w:val="auto"/>
          <w:kern w:val="2"/>
          <w:sz w:val="34"/>
          <w:szCs w:val="34"/>
          <w:lang w:val="en-US" w:eastAsia="zh-CN" w:bidi="ar-SA"/>
        </w:rPr>
        <w:t>项目</w:t>
      </w:r>
      <w:r>
        <w:rPr>
          <w:rFonts w:hint="default" w:ascii="Times New Roman" w:hAnsi="Times New Roman" w:eastAsia="方正仿宋_GBK" w:cs="Times New Roman"/>
          <w:color w:val="auto"/>
          <w:kern w:val="2"/>
          <w:sz w:val="34"/>
          <w:szCs w:val="34"/>
          <w:lang w:val="en-US" w:eastAsia="zh-CN" w:bidi="ar-SA"/>
        </w:rPr>
        <w:t>管理</w:t>
      </w:r>
      <w:r>
        <w:rPr>
          <w:rFonts w:hint="eastAsia" w:ascii="Times New Roman" w:hAnsi="Times New Roman" w:eastAsia="方正仿宋_GBK" w:cs="Times New Roman"/>
          <w:color w:val="auto"/>
          <w:kern w:val="2"/>
          <w:sz w:val="34"/>
          <w:szCs w:val="34"/>
          <w:lang w:val="en-US" w:eastAsia="zh-CN" w:bidi="ar-SA"/>
        </w:rPr>
        <w:t>和年度绩效收益2</w:t>
      </w:r>
      <w:r>
        <w:rPr>
          <w:rFonts w:hint="default" w:ascii="Times New Roman" w:hAnsi="Times New Roman" w:eastAsia="方正仿宋_GBK" w:cs="Times New Roman"/>
          <w:color w:val="auto"/>
          <w:kern w:val="2"/>
          <w:sz w:val="34"/>
          <w:szCs w:val="34"/>
          <w:lang w:val="en-US" w:eastAsia="zh-CN" w:bidi="ar-SA"/>
        </w:rPr>
        <w:t>部分。</w:t>
      </w:r>
    </w:p>
    <w:p w14:paraId="61629624">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仿宋_GBK" w:cs="Times New Roman"/>
          <w:b/>
          <w:bCs/>
          <w:color w:val="auto"/>
          <w:kern w:val="2"/>
          <w:sz w:val="34"/>
          <w:szCs w:val="34"/>
          <w:lang w:val="en-US" w:eastAsia="zh-CN" w:bidi="ar-SA"/>
        </w:rPr>
        <w:t>1.</w:t>
      </w:r>
      <w:r>
        <w:rPr>
          <w:rFonts w:hint="eastAsia" w:ascii="Times New Roman" w:hAnsi="Times New Roman" w:eastAsia="方正仿宋_GBK" w:cs="Times New Roman"/>
          <w:b/>
          <w:bCs/>
          <w:color w:val="auto"/>
          <w:kern w:val="2"/>
          <w:sz w:val="34"/>
          <w:szCs w:val="34"/>
          <w:lang w:val="en-US" w:eastAsia="zh-CN" w:bidi="ar-SA"/>
        </w:rPr>
        <w:t>项目</w:t>
      </w:r>
      <w:r>
        <w:rPr>
          <w:rFonts w:hint="default" w:ascii="Times New Roman" w:hAnsi="Times New Roman" w:eastAsia="方正仿宋_GBK" w:cs="Times New Roman"/>
          <w:b/>
          <w:bCs/>
          <w:color w:val="auto"/>
          <w:kern w:val="2"/>
          <w:sz w:val="34"/>
          <w:szCs w:val="34"/>
          <w:lang w:val="en-US" w:eastAsia="zh-CN" w:bidi="ar-SA"/>
        </w:rPr>
        <w:t>管理。</w:t>
      </w:r>
      <w:r>
        <w:rPr>
          <w:rFonts w:hint="default" w:ascii="Times New Roman" w:hAnsi="Times New Roman" w:eastAsia="方正仿宋_GBK" w:cs="Times New Roman"/>
          <w:color w:val="auto"/>
          <w:kern w:val="2"/>
          <w:sz w:val="34"/>
          <w:szCs w:val="34"/>
          <w:lang w:val="en-US" w:eastAsia="zh-CN" w:bidi="ar-SA"/>
        </w:rPr>
        <w:t>考核项目组织和管理机制建设情况，分值为30分，主要包括组织</w:t>
      </w:r>
      <w:r>
        <w:rPr>
          <w:rFonts w:hint="eastAsia" w:ascii="Times New Roman" w:hAnsi="Times New Roman" w:eastAsia="方正仿宋_GBK" w:cs="Times New Roman"/>
          <w:color w:val="auto"/>
          <w:kern w:val="2"/>
          <w:sz w:val="34"/>
          <w:szCs w:val="34"/>
          <w:lang w:val="en-US" w:eastAsia="zh-CN" w:bidi="ar-SA"/>
        </w:rPr>
        <w:t>管理</w:t>
      </w:r>
      <w:r>
        <w:rPr>
          <w:rFonts w:hint="default" w:ascii="Times New Roman" w:hAnsi="Times New Roman" w:eastAsia="方正仿宋_GBK" w:cs="Times New Roman"/>
          <w:color w:val="auto"/>
          <w:kern w:val="2"/>
          <w:sz w:val="34"/>
          <w:szCs w:val="34"/>
          <w:lang w:val="en-US" w:eastAsia="zh-CN" w:bidi="ar-SA"/>
        </w:rPr>
        <w:t>、</w:t>
      </w:r>
      <w:r>
        <w:rPr>
          <w:rFonts w:hint="eastAsia" w:ascii="Times New Roman" w:hAnsi="Times New Roman" w:eastAsia="方正仿宋_GBK" w:cs="Times New Roman"/>
          <w:color w:val="auto"/>
          <w:kern w:val="2"/>
          <w:sz w:val="34"/>
          <w:szCs w:val="34"/>
          <w:lang w:val="en-US" w:eastAsia="zh-CN" w:bidi="ar-SA"/>
        </w:rPr>
        <w:t>财务</w:t>
      </w:r>
      <w:r>
        <w:rPr>
          <w:rFonts w:hint="default" w:ascii="Times New Roman" w:hAnsi="Times New Roman" w:eastAsia="方正仿宋_GBK" w:cs="Times New Roman"/>
          <w:color w:val="auto"/>
          <w:kern w:val="2"/>
          <w:sz w:val="34"/>
          <w:szCs w:val="34"/>
          <w:lang w:val="en-US" w:eastAsia="zh-CN" w:bidi="ar-SA"/>
        </w:rPr>
        <w:t>管理、</w:t>
      </w:r>
      <w:r>
        <w:rPr>
          <w:rFonts w:hint="eastAsia" w:ascii="Times New Roman" w:hAnsi="Times New Roman" w:eastAsia="方正仿宋_GBK" w:cs="Times New Roman"/>
          <w:color w:val="auto"/>
          <w:kern w:val="2"/>
          <w:sz w:val="34"/>
          <w:szCs w:val="34"/>
          <w:lang w:val="en-US" w:eastAsia="zh-CN" w:bidi="ar-SA"/>
        </w:rPr>
        <w:t>业务管理</w:t>
      </w:r>
      <w:r>
        <w:rPr>
          <w:rFonts w:hint="default" w:ascii="Times New Roman" w:hAnsi="Times New Roman" w:eastAsia="方正仿宋_GBK" w:cs="Times New Roman"/>
          <w:color w:val="auto"/>
          <w:kern w:val="2"/>
          <w:sz w:val="34"/>
          <w:szCs w:val="34"/>
          <w:lang w:val="en-US" w:eastAsia="zh-CN" w:bidi="ar-SA"/>
        </w:rPr>
        <w:t>。</w:t>
      </w:r>
    </w:p>
    <w:p w14:paraId="0EF1E230">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仿宋_GBK" w:cs="Times New Roman"/>
          <w:b/>
          <w:bCs/>
          <w:color w:val="auto"/>
          <w:kern w:val="2"/>
          <w:sz w:val="34"/>
          <w:szCs w:val="34"/>
          <w:lang w:val="en-US" w:eastAsia="zh-CN" w:bidi="ar-SA"/>
        </w:rPr>
        <w:t>2.</w:t>
      </w:r>
      <w:r>
        <w:rPr>
          <w:rFonts w:hint="eastAsia" w:ascii="Times New Roman" w:hAnsi="Times New Roman" w:eastAsia="方正仿宋_GBK" w:cs="Times New Roman"/>
          <w:b/>
          <w:bCs/>
          <w:color w:val="auto"/>
          <w:kern w:val="2"/>
          <w:sz w:val="34"/>
          <w:szCs w:val="34"/>
          <w:lang w:val="en-US" w:eastAsia="zh-CN" w:bidi="ar-SA"/>
        </w:rPr>
        <w:t>年度绩效收益</w:t>
      </w:r>
      <w:r>
        <w:rPr>
          <w:rFonts w:hint="default" w:ascii="Times New Roman" w:hAnsi="Times New Roman" w:eastAsia="方正仿宋_GBK" w:cs="Times New Roman"/>
          <w:b/>
          <w:bCs/>
          <w:color w:val="auto"/>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考核项目各项工作任务落实情况，分值为</w:t>
      </w:r>
      <w:r>
        <w:rPr>
          <w:rFonts w:hint="eastAsia" w:ascii="Times New Roman" w:hAnsi="Times New Roman" w:eastAsia="方正仿宋_GBK" w:cs="Times New Roman"/>
          <w:color w:val="auto"/>
          <w:kern w:val="2"/>
          <w:sz w:val="34"/>
          <w:szCs w:val="34"/>
          <w:lang w:val="en-US" w:eastAsia="zh-CN" w:bidi="ar-SA"/>
        </w:rPr>
        <w:t>70</w:t>
      </w:r>
      <w:r>
        <w:rPr>
          <w:rFonts w:hint="default" w:ascii="Times New Roman" w:hAnsi="Times New Roman" w:eastAsia="方正仿宋_GBK" w:cs="Times New Roman"/>
          <w:color w:val="auto"/>
          <w:kern w:val="2"/>
          <w:sz w:val="34"/>
          <w:szCs w:val="34"/>
          <w:lang w:val="en-US" w:eastAsia="zh-CN" w:bidi="ar-SA"/>
        </w:rPr>
        <w:t>分，主要包括产出</w:t>
      </w:r>
      <w:r>
        <w:rPr>
          <w:rFonts w:hint="eastAsia" w:ascii="Times New Roman" w:hAnsi="Times New Roman" w:eastAsia="方正仿宋_GBK" w:cs="Times New Roman"/>
          <w:color w:val="auto"/>
          <w:kern w:val="2"/>
          <w:sz w:val="34"/>
          <w:szCs w:val="34"/>
          <w:lang w:val="en-US" w:eastAsia="zh-CN" w:bidi="ar-SA"/>
        </w:rPr>
        <w:t>指标</w:t>
      </w:r>
      <w:r>
        <w:rPr>
          <w:rFonts w:hint="default" w:ascii="Times New Roman" w:hAnsi="Times New Roman" w:eastAsia="方正仿宋_GBK" w:cs="Times New Roman"/>
          <w:color w:val="auto"/>
          <w:kern w:val="2"/>
          <w:sz w:val="34"/>
          <w:szCs w:val="34"/>
          <w:lang w:val="en-US" w:eastAsia="zh-CN" w:bidi="ar-SA"/>
        </w:rPr>
        <w:t>、</w:t>
      </w:r>
      <w:r>
        <w:rPr>
          <w:rFonts w:hint="eastAsia" w:ascii="Times New Roman" w:hAnsi="Times New Roman" w:eastAsia="方正仿宋_GBK" w:cs="Times New Roman"/>
          <w:color w:val="auto"/>
          <w:kern w:val="2"/>
          <w:sz w:val="34"/>
          <w:szCs w:val="34"/>
          <w:lang w:val="en-US" w:eastAsia="zh-CN" w:bidi="ar-SA"/>
        </w:rPr>
        <w:t>效益指标、满意度指标</w:t>
      </w:r>
      <w:r>
        <w:rPr>
          <w:rFonts w:hint="default" w:ascii="Times New Roman" w:hAnsi="Times New Roman" w:eastAsia="方正仿宋_GBK" w:cs="Times New Roman"/>
          <w:color w:val="auto"/>
          <w:kern w:val="2"/>
          <w:sz w:val="34"/>
          <w:szCs w:val="34"/>
          <w:lang w:val="en-US" w:eastAsia="zh-CN" w:bidi="ar-SA"/>
        </w:rPr>
        <w:t>。</w:t>
      </w:r>
    </w:p>
    <w:p w14:paraId="69B4FFE3">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b w:val="0"/>
          <w:bCs w:val="0"/>
          <w:color w:val="000000"/>
          <w:sz w:val="34"/>
          <w:szCs w:val="34"/>
          <w:lang w:val="en-US" w:eastAsia="zh-CN"/>
        </w:rPr>
      </w:pPr>
      <w:r>
        <w:rPr>
          <w:rFonts w:hint="default" w:ascii="Times New Roman" w:hAnsi="Times New Roman" w:eastAsia="方正楷体_GBK" w:cs="Times New Roman"/>
          <w:b/>
          <w:bCs/>
          <w:color w:val="auto"/>
          <w:kern w:val="2"/>
          <w:sz w:val="34"/>
          <w:szCs w:val="34"/>
          <w:lang w:val="en-US" w:eastAsia="zh-CN" w:bidi="ar-SA"/>
        </w:rPr>
        <w:t>（三）考核方式。</w:t>
      </w:r>
      <w:r>
        <w:rPr>
          <w:rFonts w:hint="default" w:ascii="Times New Roman" w:hAnsi="Times New Roman" w:eastAsia="方正仿宋_GBK" w:cs="Times New Roman"/>
          <w:color w:val="auto"/>
          <w:kern w:val="2"/>
          <w:sz w:val="34"/>
          <w:szCs w:val="34"/>
          <w:lang w:val="en-US" w:eastAsia="zh-CN" w:bidi="ar-SA"/>
        </w:rPr>
        <w:t>2026年农业新机械引进改制与熟化应用项目绩效考核工作以</w:t>
      </w:r>
      <w:r>
        <w:rPr>
          <w:rFonts w:hint="default" w:ascii="Times New Roman" w:hAnsi="Times New Roman" w:eastAsia="方正仿宋_GBK" w:cs="Times New Roman"/>
          <w:bCs/>
          <w:color w:val="000000"/>
          <w:w w:val="95"/>
          <w:kern w:val="0"/>
          <w:sz w:val="34"/>
          <w:szCs w:val="34"/>
          <w:lang w:eastAsia="zh-CN"/>
        </w:rPr>
        <w:t>青铜峡市农业技术和农机化推广服务中心</w:t>
      </w:r>
      <w:r>
        <w:rPr>
          <w:rFonts w:hint="default" w:ascii="Times New Roman" w:hAnsi="Times New Roman" w:eastAsia="方正仿宋_GBK" w:cs="Times New Roman"/>
          <w:color w:val="auto"/>
          <w:kern w:val="2"/>
          <w:sz w:val="34"/>
          <w:szCs w:val="34"/>
          <w:lang w:val="en-US" w:eastAsia="zh-CN" w:bidi="ar-SA"/>
        </w:rPr>
        <w:t>自评为主</w:t>
      </w:r>
      <w:r>
        <w:rPr>
          <w:rFonts w:hint="eastAsia" w:ascii="Times New Roman" w:hAnsi="Times New Roman" w:eastAsia="方正仿宋_GBK" w:cs="Times New Roman"/>
          <w:color w:val="auto"/>
          <w:kern w:val="2"/>
          <w:sz w:val="34"/>
          <w:szCs w:val="34"/>
          <w:lang w:val="en-US" w:eastAsia="zh-CN" w:bidi="ar-SA"/>
        </w:rPr>
        <w:t>，由</w:t>
      </w:r>
      <w:r>
        <w:rPr>
          <w:rFonts w:hint="default" w:ascii="Times New Roman" w:hAnsi="Times New Roman" w:eastAsia="方正仿宋_GBK" w:cs="Times New Roman"/>
          <w:color w:val="auto"/>
          <w:kern w:val="2"/>
          <w:sz w:val="34"/>
          <w:szCs w:val="34"/>
          <w:lang w:val="en-US" w:eastAsia="zh-CN" w:bidi="ar-SA"/>
        </w:rPr>
        <w:t>青铜峡市农业农村局组织复核，得出考核结果，形成绩效评价报告，</w:t>
      </w:r>
      <w:r>
        <w:rPr>
          <w:rFonts w:hint="default" w:ascii="Times New Roman" w:hAnsi="Times New Roman" w:eastAsia="方正仿宋_GBK" w:cs="Times New Roman"/>
          <w:b w:val="0"/>
          <w:bCs w:val="0"/>
          <w:color w:val="000000"/>
          <w:sz w:val="34"/>
          <w:szCs w:val="34"/>
          <w:lang w:val="en-US" w:eastAsia="zh-CN"/>
        </w:rPr>
        <w:t>上报自治区农业机械化技术推广站。</w:t>
      </w:r>
    </w:p>
    <w:p w14:paraId="3AB6A9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3" w:firstLineChars="200"/>
        <w:jc w:val="both"/>
        <w:textAlignment w:val="auto"/>
        <w:outlineLvl w:val="9"/>
        <w:rPr>
          <w:rFonts w:hint="default" w:ascii="Times New Roman" w:hAnsi="Times New Roman" w:eastAsia="方正仿宋_GBK" w:cs="Times New Roman"/>
          <w:b/>
          <w:bCs/>
          <w:color w:val="000000"/>
          <w:kern w:val="0"/>
          <w:sz w:val="34"/>
          <w:szCs w:val="34"/>
          <w:lang w:val="en-US" w:eastAsia="zh-CN" w:bidi="ar"/>
        </w:rPr>
      </w:pPr>
      <w:r>
        <w:rPr>
          <w:rFonts w:hint="default" w:ascii="Times New Roman" w:hAnsi="Times New Roman" w:eastAsia="方正楷体_GBK" w:cs="Times New Roman"/>
          <w:b/>
          <w:bCs/>
          <w:color w:val="000000"/>
          <w:kern w:val="0"/>
          <w:sz w:val="34"/>
          <w:szCs w:val="34"/>
          <w:lang w:val="en-US" w:eastAsia="zh-CN" w:bidi="ar"/>
        </w:rPr>
        <w:t>（四）时间安排。</w:t>
      </w:r>
      <w:r>
        <w:rPr>
          <w:rFonts w:hint="default" w:ascii="Times New Roman" w:hAnsi="Times New Roman" w:eastAsia="方正仿宋_GBK" w:cs="Times New Roman"/>
          <w:color w:val="222222"/>
          <w:kern w:val="0"/>
          <w:sz w:val="34"/>
          <w:szCs w:val="34"/>
        </w:rPr>
        <w:t>绩效考核验收时间</w:t>
      </w:r>
      <w:r>
        <w:rPr>
          <w:rFonts w:hint="default" w:ascii="Times New Roman" w:hAnsi="Times New Roman" w:eastAsia="方正仿宋_GBK" w:cs="Times New Roman"/>
          <w:color w:val="222222"/>
          <w:kern w:val="0"/>
          <w:sz w:val="34"/>
          <w:szCs w:val="34"/>
          <w:lang w:val="en-US" w:eastAsia="zh-CN"/>
        </w:rPr>
        <w:t>为2026年12</w:t>
      </w:r>
      <w:r>
        <w:rPr>
          <w:rFonts w:hint="default" w:ascii="Times New Roman" w:hAnsi="Times New Roman" w:eastAsia="方正仿宋_GBK" w:cs="Times New Roman"/>
          <w:color w:val="222222"/>
          <w:kern w:val="0"/>
          <w:sz w:val="34"/>
          <w:szCs w:val="34"/>
        </w:rPr>
        <w:t>月</w:t>
      </w:r>
      <w:r>
        <w:rPr>
          <w:rFonts w:hint="default" w:ascii="Times New Roman" w:hAnsi="Times New Roman" w:eastAsia="方正仿宋_GBK" w:cs="Times New Roman"/>
          <w:color w:val="222222"/>
          <w:kern w:val="0"/>
          <w:sz w:val="34"/>
          <w:szCs w:val="34"/>
          <w:lang w:val="en-US" w:eastAsia="zh-CN"/>
        </w:rPr>
        <w:t>30</w:t>
      </w:r>
      <w:r>
        <w:rPr>
          <w:rFonts w:hint="default" w:ascii="Times New Roman" w:hAnsi="Times New Roman" w:eastAsia="方正仿宋_GBK" w:cs="Times New Roman"/>
          <w:color w:val="222222"/>
          <w:kern w:val="0"/>
          <w:sz w:val="34"/>
          <w:szCs w:val="34"/>
        </w:rPr>
        <w:t>日</w:t>
      </w:r>
      <w:r>
        <w:rPr>
          <w:rFonts w:hint="default" w:ascii="Times New Roman" w:hAnsi="Times New Roman" w:eastAsia="方正仿宋_GBK" w:cs="Times New Roman"/>
          <w:color w:val="222222"/>
          <w:kern w:val="0"/>
          <w:sz w:val="34"/>
          <w:szCs w:val="34"/>
          <w:lang w:eastAsia="zh-CN"/>
        </w:rPr>
        <w:t>前</w:t>
      </w:r>
      <w:r>
        <w:rPr>
          <w:rFonts w:hint="default" w:ascii="Times New Roman" w:hAnsi="Times New Roman" w:eastAsia="方正仿宋_GBK" w:cs="Times New Roman"/>
          <w:color w:val="222222"/>
          <w:kern w:val="0"/>
          <w:sz w:val="34"/>
          <w:szCs w:val="34"/>
          <w:lang w:val="en-US" w:eastAsia="zh-CN"/>
        </w:rPr>
        <w:t>。</w:t>
      </w:r>
    </w:p>
    <w:p w14:paraId="21F911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default" w:ascii="Times New Roman" w:hAnsi="Times New Roman" w:eastAsia="黑体" w:cs="Times New Roman"/>
          <w:b w:val="0"/>
          <w:bCs/>
          <w:sz w:val="34"/>
          <w:szCs w:val="34"/>
        </w:rPr>
      </w:pPr>
      <w:r>
        <w:rPr>
          <w:rFonts w:hint="default" w:ascii="Times New Roman" w:hAnsi="Times New Roman" w:eastAsia="黑体" w:cs="Times New Roman"/>
          <w:b w:val="0"/>
          <w:bCs/>
          <w:sz w:val="34"/>
          <w:szCs w:val="34"/>
          <w:lang w:val="en-US" w:eastAsia="zh-CN"/>
        </w:rPr>
        <w:t>四</w:t>
      </w:r>
      <w:r>
        <w:rPr>
          <w:rFonts w:hint="default" w:ascii="Times New Roman" w:hAnsi="Times New Roman" w:eastAsia="黑体" w:cs="Times New Roman"/>
          <w:b w:val="0"/>
          <w:bCs/>
          <w:sz w:val="34"/>
          <w:szCs w:val="34"/>
        </w:rPr>
        <w:t>、工作程序</w:t>
      </w:r>
    </w:p>
    <w:p w14:paraId="479C3A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0"/>
        <w:jc w:val="both"/>
        <w:textAlignment w:val="auto"/>
        <w:outlineLvl w:val="9"/>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222222"/>
          <w:kern w:val="0"/>
          <w:sz w:val="34"/>
          <w:szCs w:val="34"/>
          <w:lang w:eastAsia="zh-CN"/>
        </w:rPr>
        <w:t>项目实施单位，</w:t>
      </w:r>
      <w:r>
        <w:rPr>
          <w:rFonts w:hint="default" w:ascii="Times New Roman" w:hAnsi="Times New Roman" w:eastAsia="方正仿宋_GBK" w:cs="Times New Roman"/>
          <w:color w:val="222222"/>
          <w:kern w:val="0"/>
          <w:sz w:val="34"/>
          <w:szCs w:val="34"/>
        </w:rPr>
        <w:t>对照自治区农财两厅下达的计划任务指标与实际完成情况、资金</w:t>
      </w:r>
      <w:r>
        <w:rPr>
          <w:rFonts w:hint="default" w:ascii="Times New Roman" w:hAnsi="Times New Roman" w:eastAsia="方正仿宋_GBK" w:cs="Times New Roman"/>
          <w:sz w:val="34"/>
          <w:szCs w:val="34"/>
          <w:lang w:val="en-US" w:eastAsia="zh-CN" w:bidi="ar-SA"/>
        </w:rPr>
        <w:t>（含地方配套资金）</w:t>
      </w:r>
      <w:r>
        <w:rPr>
          <w:rFonts w:hint="default" w:ascii="Times New Roman" w:hAnsi="Times New Roman" w:eastAsia="方正仿宋_GBK" w:cs="Times New Roman"/>
          <w:color w:val="222222"/>
          <w:kern w:val="0"/>
          <w:sz w:val="34"/>
          <w:szCs w:val="34"/>
        </w:rPr>
        <w:t>落实及使用情况</w:t>
      </w:r>
      <w:r>
        <w:rPr>
          <w:rFonts w:hint="default" w:ascii="Times New Roman" w:hAnsi="Times New Roman" w:eastAsia="方正仿宋_GBK" w:cs="Times New Roman"/>
          <w:color w:val="222222"/>
          <w:kern w:val="0"/>
          <w:sz w:val="34"/>
          <w:szCs w:val="34"/>
          <w:lang w:eastAsia="zh-CN"/>
        </w:rPr>
        <w:t>，</w:t>
      </w:r>
      <w:r>
        <w:rPr>
          <w:rFonts w:hint="default" w:ascii="Times New Roman" w:hAnsi="Times New Roman" w:eastAsia="方正仿宋_GBK" w:cs="Times New Roman"/>
          <w:color w:val="222222"/>
          <w:kern w:val="0"/>
          <w:sz w:val="34"/>
          <w:szCs w:val="34"/>
        </w:rPr>
        <w:t>推进</w:t>
      </w:r>
      <w:r>
        <w:rPr>
          <w:rFonts w:hint="default" w:ascii="Times New Roman" w:hAnsi="Times New Roman" w:eastAsia="方正仿宋_GBK" w:cs="Times New Roman"/>
          <w:color w:val="222222"/>
          <w:kern w:val="0"/>
          <w:sz w:val="34"/>
          <w:szCs w:val="34"/>
          <w:lang w:eastAsia="zh-CN"/>
        </w:rPr>
        <w:t>基地建设</w:t>
      </w:r>
      <w:r>
        <w:rPr>
          <w:rFonts w:hint="default" w:ascii="Times New Roman" w:hAnsi="Times New Roman" w:eastAsia="方正仿宋_GBK" w:cs="Times New Roman"/>
          <w:color w:val="222222"/>
          <w:kern w:val="0"/>
          <w:sz w:val="34"/>
          <w:szCs w:val="34"/>
        </w:rPr>
        <w:t>的成效、经验、主要做法</w:t>
      </w:r>
      <w:r>
        <w:rPr>
          <w:rFonts w:hint="default" w:ascii="Times New Roman" w:hAnsi="Times New Roman" w:eastAsia="方正仿宋_GBK" w:cs="Times New Roman"/>
          <w:color w:val="222222"/>
          <w:kern w:val="0"/>
          <w:sz w:val="34"/>
          <w:szCs w:val="34"/>
          <w:lang w:eastAsia="zh-CN"/>
        </w:rPr>
        <w:t>以及</w:t>
      </w:r>
      <w:r>
        <w:rPr>
          <w:rFonts w:hint="default" w:ascii="Times New Roman" w:hAnsi="Times New Roman" w:eastAsia="方正仿宋_GBK" w:cs="Times New Roman"/>
          <w:color w:val="222222"/>
          <w:kern w:val="0"/>
          <w:sz w:val="34"/>
          <w:szCs w:val="34"/>
        </w:rPr>
        <w:t>存在的问题和建议等相关内容</w:t>
      </w:r>
      <w:r>
        <w:rPr>
          <w:rFonts w:hint="default" w:ascii="Times New Roman" w:hAnsi="Times New Roman" w:eastAsia="方正仿宋_GBK" w:cs="Times New Roman"/>
          <w:color w:val="222222"/>
          <w:kern w:val="0"/>
          <w:sz w:val="34"/>
          <w:szCs w:val="34"/>
          <w:lang w:eastAsia="zh-CN"/>
        </w:rPr>
        <w:t>，进行验收，按要求</w:t>
      </w:r>
      <w:r>
        <w:rPr>
          <w:rFonts w:hint="default" w:ascii="Times New Roman" w:hAnsi="Times New Roman" w:eastAsia="方正仿宋_GBK" w:cs="Times New Roman"/>
          <w:color w:val="222222"/>
          <w:kern w:val="0"/>
          <w:sz w:val="34"/>
          <w:szCs w:val="34"/>
        </w:rPr>
        <w:t>将相关材料装订成册，</w:t>
      </w:r>
      <w:r>
        <w:rPr>
          <w:rFonts w:hint="default" w:ascii="Times New Roman" w:hAnsi="Times New Roman" w:eastAsia="方正仿宋_GBK" w:cs="Times New Roman"/>
          <w:color w:val="222222"/>
          <w:kern w:val="0"/>
          <w:sz w:val="34"/>
          <w:szCs w:val="34"/>
          <w:lang w:eastAsia="zh-CN"/>
        </w:rPr>
        <w:t>并及时上报，</w:t>
      </w:r>
      <w:r>
        <w:rPr>
          <w:rFonts w:hint="default" w:ascii="Times New Roman" w:hAnsi="Times New Roman" w:eastAsia="方正仿宋_GBK" w:cs="Times New Roman"/>
          <w:color w:val="222222"/>
          <w:kern w:val="0"/>
          <w:sz w:val="34"/>
          <w:szCs w:val="34"/>
        </w:rPr>
        <w:t>以备自治区考核验收组检查验收。</w:t>
      </w:r>
    </w:p>
    <w:p w14:paraId="4EE52E5A">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1658" w:leftChars="304" w:right="0" w:rightChars="0" w:hanging="1020" w:hangingChars="300"/>
        <w:jc w:val="both"/>
        <w:textAlignment w:val="auto"/>
        <w:rPr>
          <w:rFonts w:hint="default" w:ascii="Times New Roman" w:hAnsi="Times New Roman" w:eastAsia="方正仿宋_GBK" w:cs="Times New Roman"/>
          <w:color w:val="222222"/>
          <w:kern w:val="0"/>
          <w:sz w:val="34"/>
          <w:szCs w:val="34"/>
          <w:lang w:val="en-US" w:eastAsia="zh-CN" w:bidi="ar-SA"/>
        </w:rPr>
      </w:pPr>
    </w:p>
    <w:p w14:paraId="5CAC5F96">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left="1658" w:leftChars="304" w:right="0" w:rightChars="0" w:hanging="1020" w:hangingChars="300"/>
        <w:jc w:val="both"/>
        <w:textAlignment w:val="auto"/>
        <w:rPr>
          <w:rFonts w:hint="default" w:ascii="Times New Roman" w:hAnsi="Times New Roman" w:eastAsia="方正仿宋_GBK" w:cs="Times New Roman"/>
          <w:color w:val="222222"/>
          <w:kern w:val="0"/>
          <w:sz w:val="34"/>
          <w:szCs w:val="34"/>
          <w:lang w:val="en-US" w:eastAsia="zh-CN" w:bidi="ar-SA"/>
        </w:rPr>
      </w:pPr>
      <w:r>
        <w:rPr>
          <w:rFonts w:hint="default" w:ascii="Times New Roman" w:hAnsi="Times New Roman" w:eastAsia="方正仿宋_GBK" w:cs="Times New Roman"/>
          <w:color w:val="222222"/>
          <w:kern w:val="0"/>
          <w:sz w:val="34"/>
          <w:szCs w:val="34"/>
          <w:lang w:val="en-US" w:eastAsia="zh-CN" w:bidi="ar-SA"/>
        </w:rPr>
        <w:t>附表：1.项目绩效考核指标体系</w:t>
      </w:r>
    </w:p>
    <w:p w14:paraId="11F29D8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700" w:firstLineChars="500"/>
        <w:jc w:val="both"/>
        <w:textAlignment w:val="auto"/>
        <w:rPr>
          <w:rFonts w:hint="default" w:ascii="Times New Roman" w:hAnsi="Times New Roman" w:eastAsia="方正仿宋_GBK" w:cs="Times New Roman"/>
          <w:sz w:val="34"/>
          <w:szCs w:val="34"/>
          <w:lang w:val="en-US" w:eastAsia="zh-CN"/>
        </w:rPr>
      </w:pPr>
      <w:r>
        <w:rPr>
          <w:rFonts w:hint="default" w:ascii="Times New Roman" w:hAnsi="Times New Roman" w:eastAsia="方正仿宋_GBK" w:cs="Times New Roman"/>
          <w:sz w:val="34"/>
          <w:szCs w:val="34"/>
          <w:lang w:val="en-US" w:eastAsia="zh-CN"/>
        </w:rPr>
        <w:t>2.项目区域性绩效目标申报表</w:t>
      </w:r>
    </w:p>
    <w:p w14:paraId="476FC59F">
      <w:pPr>
        <w:rPr>
          <w:rFonts w:hint="default" w:ascii="Times New Roman" w:hAnsi="Times New Roman" w:eastAsia="方正小标宋_GBK" w:cs="Times New Roman"/>
          <w:color w:val="auto"/>
          <w:kern w:val="0"/>
          <w:sz w:val="36"/>
          <w:szCs w:val="36"/>
          <w:lang w:val="en-US" w:eastAsia="zh-CN" w:bidi="ar-SA"/>
        </w:rPr>
      </w:pPr>
      <w:r>
        <w:rPr>
          <w:rFonts w:hint="default" w:ascii="Times New Roman" w:hAnsi="Times New Roman" w:eastAsia="方正小标宋_GBK" w:cs="Times New Roman"/>
          <w:color w:val="auto"/>
          <w:kern w:val="0"/>
          <w:sz w:val="36"/>
          <w:szCs w:val="36"/>
          <w:lang w:val="en-US" w:eastAsia="zh-CN" w:bidi="ar-SA"/>
        </w:rPr>
        <w:br w:type="page"/>
      </w:r>
    </w:p>
    <w:p w14:paraId="623D3087">
      <w:pPr>
        <w:spacing w:line="580" w:lineRule="exact"/>
        <w:rPr>
          <w:rFonts w:hint="eastAsia" w:ascii="方正小标宋_GBK" w:hAnsi="方正小标宋_GBK" w:eastAsia="方正小标宋_GBK" w:cs="方正小标宋_GBK"/>
          <w:color w:val="auto"/>
          <w:kern w:val="0"/>
          <w:sz w:val="36"/>
          <w:szCs w:val="36"/>
          <w:lang w:val="en-US" w:eastAsia="zh-CN" w:bidi="ar-SA"/>
        </w:rPr>
      </w:pPr>
      <w:r>
        <w:rPr>
          <w:rFonts w:hint="eastAsia" w:ascii="方正仿宋_GBK" w:hAnsi="方正仿宋_GBK" w:eastAsia="方正仿宋_GBK" w:cs="方正仿宋_GBK"/>
          <w:sz w:val="32"/>
          <w:szCs w:val="32"/>
          <w:lang w:val="en-US" w:eastAsia="zh-CN"/>
        </w:rPr>
        <w:t>附表</w:t>
      </w:r>
      <w:r>
        <w:rPr>
          <w:rFonts w:hint="default" w:ascii="Times New Roman" w:hAnsi="Times New Roman" w:eastAsia="方正仿宋_GBK" w:cs="Times New Roman"/>
          <w:sz w:val="32"/>
          <w:szCs w:val="32"/>
          <w:lang w:val="en-US" w:eastAsia="zh-CN"/>
        </w:rPr>
        <w:t>1</w:t>
      </w:r>
    </w:p>
    <w:p w14:paraId="6D9464CB">
      <w:pPr>
        <w:pStyle w:val="2"/>
        <w:keepNext w:val="0"/>
        <w:keepLines w:val="0"/>
        <w:pageBreakBefore w:val="0"/>
        <w:kinsoku/>
        <w:wordWrap/>
        <w:overflowPunct/>
        <w:topLinePunct w:val="0"/>
        <w:autoSpaceDE/>
        <w:autoSpaceDN/>
        <w:bidi w:val="0"/>
        <w:adjustRightInd w:val="0"/>
        <w:snapToGrid w:val="0"/>
        <w:spacing w:after="0" w:line="600" w:lineRule="exact"/>
        <w:ind w:left="1718" w:leftChars="304" w:hanging="1080" w:hangingChars="300"/>
        <w:jc w:val="center"/>
        <w:rPr>
          <w:rFonts w:hint="eastAsia" w:ascii="方正小标宋_GBK" w:hAnsi="方正小标宋_GBK" w:eastAsia="方正小标宋_GBK" w:cs="方正小标宋_GBK"/>
          <w:color w:val="auto"/>
          <w:kern w:val="0"/>
          <w:sz w:val="36"/>
          <w:szCs w:val="36"/>
          <w:lang w:val="en-US" w:eastAsia="zh-CN" w:bidi="ar-SA"/>
        </w:rPr>
      </w:pPr>
      <w:r>
        <w:rPr>
          <w:rFonts w:hint="eastAsia" w:ascii="方正小标宋_GBK" w:hAnsi="方正小标宋_GBK" w:eastAsia="方正小标宋_GBK" w:cs="方正小标宋_GBK"/>
          <w:color w:val="auto"/>
          <w:kern w:val="0"/>
          <w:sz w:val="36"/>
          <w:szCs w:val="36"/>
          <w:lang w:val="en-US" w:eastAsia="zh-CN" w:bidi="ar-SA"/>
        </w:rPr>
        <w:t>青铜峡市2026年农业新机械改制与熟化应用项目</w:t>
      </w:r>
    </w:p>
    <w:p w14:paraId="49C5BD8E">
      <w:pPr>
        <w:pStyle w:val="2"/>
        <w:keepNext w:val="0"/>
        <w:keepLines w:val="0"/>
        <w:pageBreakBefore w:val="0"/>
        <w:kinsoku/>
        <w:wordWrap/>
        <w:overflowPunct/>
        <w:topLinePunct w:val="0"/>
        <w:autoSpaceDE/>
        <w:autoSpaceDN/>
        <w:bidi w:val="0"/>
        <w:adjustRightInd w:val="0"/>
        <w:snapToGrid w:val="0"/>
        <w:spacing w:after="0" w:line="600" w:lineRule="exact"/>
        <w:ind w:left="1718" w:leftChars="304" w:hanging="1080" w:hangingChars="300"/>
        <w:jc w:val="center"/>
        <w:rPr>
          <w:rFonts w:hint="eastAsia" w:ascii="方正小标宋_GBK" w:hAnsi="方正小标宋_GBK" w:eastAsia="方正小标宋_GBK" w:cs="方正小标宋_GBK"/>
          <w:color w:val="auto"/>
          <w:kern w:val="0"/>
          <w:sz w:val="36"/>
          <w:szCs w:val="36"/>
          <w:lang w:val="en-US" w:eastAsia="zh-CN" w:bidi="ar-SA"/>
        </w:rPr>
      </w:pPr>
      <w:r>
        <w:rPr>
          <w:rFonts w:hint="eastAsia" w:ascii="方正小标宋_GBK" w:hAnsi="方正小标宋_GBK" w:eastAsia="方正小标宋_GBK" w:cs="方正小标宋_GBK"/>
          <w:color w:val="auto"/>
          <w:kern w:val="0"/>
          <w:sz w:val="36"/>
          <w:szCs w:val="36"/>
          <w:lang w:val="en-US" w:eastAsia="zh-CN" w:bidi="ar-SA"/>
        </w:rPr>
        <w:t>绩效考核指标体系</w:t>
      </w:r>
    </w:p>
    <w:tbl>
      <w:tblPr>
        <w:tblStyle w:val="11"/>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948"/>
        <w:gridCol w:w="1208"/>
        <w:gridCol w:w="6140"/>
        <w:gridCol w:w="671"/>
      </w:tblGrid>
      <w:tr w14:paraId="68E5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770" w:type="dxa"/>
            <w:noWrap w:val="0"/>
            <w:vAlign w:val="center"/>
          </w:tcPr>
          <w:p w14:paraId="16DDC29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一级</w:t>
            </w:r>
          </w:p>
          <w:p w14:paraId="43CFC79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指标</w:t>
            </w:r>
          </w:p>
        </w:tc>
        <w:tc>
          <w:tcPr>
            <w:tcW w:w="948" w:type="dxa"/>
            <w:noWrap w:val="0"/>
            <w:vAlign w:val="center"/>
          </w:tcPr>
          <w:p w14:paraId="67E1FEC2">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二级指标</w:t>
            </w:r>
          </w:p>
        </w:tc>
        <w:tc>
          <w:tcPr>
            <w:tcW w:w="1208" w:type="dxa"/>
            <w:noWrap w:val="0"/>
            <w:vAlign w:val="center"/>
          </w:tcPr>
          <w:p w14:paraId="3454D1D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三级指标</w:t>
            </w:r>
          </w:p>
        </w:tc>
        <w:tc>
          <w:tcPr>
            <w:tcW w:w="6140" w:type="dxa"/>
            <w:noWrap w:val="0"/>
            <w:vAlign w:val="center"/>
          </w:tcPr>
          <w:p w14:paraId="5D3B003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评分标准</w:t>
            </w:r>
          </w:p>
        </w:tc>
        <w:tc>
          <w:tcPr>
            <w:tcW w:w="671" w:type="dxa"/>
            <w:noWrap w:val="0"/>
            <w:vAlign w:val="center"/>
          </w:tcPr>
          <w:p w14:paraId="2B582DC9">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自评分</w:t>
            </w:r>
          </w:p>
        </w:tc>
      </w:tr>
      <w:tr w14:paraId="22F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restart"/>
            <w:noWrap w:val="0"/>
            <w:vAlign w:val="center"/>
          </w:tcPr>
          <w:p w14:paraId="79875E1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w:t>
            </w:r>
          </w:p>
          <w:p w14:paraId="12299FF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管理</w:t>
            </w:r>
          </w:p>
          <w:p w14:paraId="1A346E6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 w:val="20"/>
                <w:szCs w:val="20"/>
              </w:rPr>
              <w:t>（30分）</w:t>
            </w:r>
          </w:p>
        </w:tc>
        <w:tc>
          <w:tcPr>
            <w:tcW w:w="948" w:type="dxa"/>
            <w:vMerge w:val="restart"/>
            <w:noWrap w:val="0"/>
            <w:vAlign w:val="center"/>
          </w:tcPr>
          <w:p w14:paraId="50D48E75">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组织管理</w:t>
            </w:r>
          </w:p>
          <w:p w14:paraId="5C4B0E22">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10</w:t>
            </w:r>
            <w:r>
              <w:rPr>
                <w:rFonts w:hint="default" w:ascii="Times New Roman" w:hAnsi="Times New Roman" w:eastAsia="方正仿宋_GBK" w:cs="Times New Roman"/>
                <w:color w:val="000000"/>
                <w:szCs w:val="21"/>
                <w:lang w:eastAsia="zh-CN"/>
              </w:rPr>
              <w:t>)</w:t>
            </w:r>
          </w:p>
        </w:tc>
        <w:tc>
          <w:tcPr>
            <w:tcW w:w="1208" w:type="dxa"/>
            <w:noWrap w:val="0"/>
            <w:vAlign w:val="center"/>
          </w:tcPr>
          <w:p w14:paraId="64735EB3">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组织机构</w:t>
            </w:r>
          </w:p>
        </w:tc>
        <w:tc>
          <w:tcPr>
            <w:tcW w:w="6140" w:type="dxa"/>
            <w:noWrap w:val="0"/>
            <w:vAlign w:val="center"/>
          </w:tcPr>
          <w:p w14:paraId="74B3B7E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成立项目组织实施机构得3分；实施机构不符合要求得1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2分；没有成立不得分。</w:t>
            </w:r>
          </w:p>
        </w:tc>
        <w:tc>
          <w:tcPr>
            <w:tcW w:w="671" w:type="dxa"/>
            <w:noWrap w:val="0"/>
            <w:vAlign w:val="top"/>
          </w:tcPr>
          <w:p w14:paraId="2254507B">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61BF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0" w:type="dxa"/>
            <w:vMerge w:val="continue"/>
            <w:noWrap w:val="0"/>
            <w:vAlign w:val="center"/>
          </w:tcPr>
          <w:p w14:paraId="3C86231B">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5E7E7AD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0A023D7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管理制度</w:t>
            </w:r>
          </w:p>
        </w:tc>
        <w:tc>
          <w:tcPr>
            <w:tcW w:w="6140" w:type="dxa"/>
            <w:noWrap w:val="0"/>
            <w:vAlign w:val="center"/>
          </w:tcPr>
          <w:p w14:paraId="46CA2F3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有项目管理制度得3分；管理制度不完善得1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2分；没有不得分。</w:t>
            </w:r>
          </w:p>
        </w:tc>
        <w:tc>
          <w:tcPr>
            <w:tcW w:w="671" w:type="dxa"/>
            <w:noWrap w:val="0"/>
            <w:vAlign w:val="top"/>
          </w:tcPr>
          <w:p w14:paraId="639374E2">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1B67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8A00084">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02C96C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6D8BB20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档案资料</w:t>
            </w:r>
          </w:p>
        </w:tc>
        <w:tc>
          <w:tcPr>
            <w:tcW w:w="6140" w:type="dxa"/>
            <w:noWrap w:val="0"/>
            <w:vAlign w:val="center"/>
          </w:tcPr>
          <w:p w14:paraId="6D93DE60">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项目档案资料完整、规范得4分；不完整、不规范得1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3分；没有档案不得分。</w:t>
            </w:r>
          </w:p>
        </w:tc>
        <w:tc>
          <w:tcPr>
            <w:tcW w:w="671" w:type="dxa"/>
            <w:noWrap w:val="0"/>
            <w:vAlign w:val="top"/>
          </w:tcPr>
          <w:p w14:paraId="1346DBC5">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15A4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50DFDE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restart"/>
            <w:noWrap w:val="0"/>
            <w:vAlign w:val="center"/>
          </w:tcPr>
          <w:p w14:paraId="0E27E9E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财务管理</w:t>
            </w:r>
          </w:p>
          <w:p w14:paraId="15B2B79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w:t>
            </w:r>
            <w:r>
              <w:rPr>
                <w:rFonts w:hint="default" w:ascii="Times New Roman" w:hAnsi="Times New Roman" w:eastAsia="方正仿宋_GBK" w:cs="Times New Roman"/>
                <w:color w:val="000000"/>
                <w:szCs w:val="21"/>
                <w:lang w:eastAsia="zh-CN"/>
              </w:rPr>
              <w:t>）</w:t>
            </w:r>
          </w:p>
        </w:tc>
        <w:tc>
          <w:tcPr>
            <w:tcW w:w="1208" w:type="dxa"/>
            <w:noWrap w:val="0"/>
            <w:vAlign w:val="center"/>
          </w:tcPr>
          <w:p w14:paraId="5BF8BD13">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资金投入</w:t>
            </w:r>
          </w:p>
        </w:tc>
        <w:tc>
          <w:tcPr>
            <w:tcW w:w="6140" w:type="dxa"/>
            <w:noWrap w:val="0"/>
            <w:vAlign w:val="center"/>
          </w:tcPr>
          <w:p w14:paraId="6AC0945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全额投入资金</w:t>
            </w:r>
            <w:r>
              <w:rPr>
                <w:rFonts w:hint="default" w:ascii="Times New Roman" w:hAnsi="Times New Roman" w:eastAsia="方正仿宋_GBK" w:cs="Times New Roman"/>
                <w:color w:val="000000"/>
                <w:szCs w:val="21"/>
                <w:lang w:val="en-US" w:eastAsia="zh-CN"/>
              </w:rPr>
              <w:t>4</w:t>
            </w:r>
            <w:r>
              <w:rPr>
                <w:rFonts w:hint="default" w:ascii="Times New Roman" w:hAnsi="Times New Roman" w:eastAsia="方正仿宋_GBK" w:cs="Times New Roman"/>
                <w:color w:val="000000"/>
                <w:szCs w:val="21"/>
              </w:rPr>
              <w:t>分；投入</w:t>
            </w:r>
            <w:r>
              <w:rPr>
                <w:rFonts w:hint="default" w:ascii="Times New Roman" w:hAnsi="Times New Roman" w:eastAsia="方正仿宋_GBK" w:cs="Times New Roman"/>
                <w:color w:val="000000"/>
                <w:szCs w:val="21"/>
                <w:lang w:eastAsia="zh-CN"/>
              </w:rPr>
              <w:t>80%—99%</w:t>
            </w:r>
            <w:r>
              <w:rPr>
                <w:rFonts w:hint="default" w:ascii="Times New Roman" w:hAnsi="Times New Roman" w:eastAsia="方正仿宋_GBK" w:cs="Times New Roman"/>
                <w:color w:val="000000"/>
                <w:szCs w:val="21"/>
              </w:rPr>
              <w:t>得</w:t>
            </w:r>
            <w:r>
              <w:rPr>
                <w:rFonts w:hint="default" w:ascii="Times New Roman" w:hAnsi="Times New Roman" w:eastAsia="方正仿宋_GBK" w:cs="Times New Roman"/>
                <w:color w:val="000000"/>
                <w:szCs w:val="21"/>
                <w:lang w:val="en-US" w:eastAsia="zh-CN"/>
              </w:rPr>
              <w:t>3</w:t>
            </w:r>
            <w:r>
              <w:rPr>
                <w:rFonts w:hint="default" w:ascii="Times New Roman" w:hAnsi="Times New Roman" w:eastAsia="方正仿宋_GBK" w:cs="Times New Roman"/>
                <w:color w:val="000000"/>
                <w:szCs w:val="21"/>
              </w:rPr>
              <w:t>分；</w:t>
            </w:r>
            <w:r>
              <w:rPr>
                <w:rFonts w:hint="default" w:ascii="Times New Roman" w:hAnsi="Times New Roman" w:eastAsia="方正仿宋_GBK" w:cs="Times New Roman"/>
                <w:color w:val="000000"/>
                <w:szCs w:val="21"/>
                <w:lang w:eastAsia="zh-CN"/>
              </w:rPr>
              <w:t>50%—79%</w:t>
            </w:r>
            <w:r>
              <w:rPr>
                <w:rFonts w:hint="default" w:ascii="Times New Roman" w:hAnsi="Times New Roman" w:eastAsia="方正仿宋_GBK" w:cs="Times New Roman"/>
                <w:color w:val="000000"/>
                <w:szCs w:val="21"/>
              </w:rPr>
              <w:t>的</w:t>
            </w:r>
            <w:r>
              <w:rPr>
                <w:rFonts w:hint="default" w:ascii="Times New Roman" w:hAnsi="Times New Roman" w:eastAsia="方正仿宋_GBK" w:cs="Times New Roman"/>
                <w:color w:val="000000"/>
                <w:szCs w:val="21"/>
                <w:lang w:val="en-US" w:eastAsia="zh-CN"/>
              </w:rPr>
              <w:t>2</w:t>
            </w:r>
            <w:r>
              <w:rPr>
                <w:rFonts w:hint="default" w:ascii="Times New Roman" w:hAnsi="Times New Roman" w:eastAsia="方正仿宋_GBK" w:cs="Times New Roman"/>
                <w:color w:val="000000"/>
                <w:szCs w:val="21"/>
              </w:rPr>
              <w:t>分；低于50%不得分。</w:t>
            </w:r>
          </w:p>
        </w:tc>
        <w:tc>
          <w:tcPr>
            <w:tcW w:w="671" w:type="dxa"/>
            <w:noWrap w:val="0"/>
            <w:vAlign w:val="top"/>
          </w:tcPr>
          <w:p w14:paraId="7270AA1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36C7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336A1FC3">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41E028F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03C6186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资金执行</w:t>
            </w:r>
          </w:p>
        </w:tc>
        <w:tc>
          <w:tcPr>
            <w:tcW w:w="6140" w:type="dxa"/>
            <w:noWrap w:val="0"/>
            <w:vAlign w:val="center"/>
          </w:tcPr>
          <w:p w14:paraId="418F917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严格执行项目预算得</w:t>
            </w:r>
            <w:r>
              <w:rPr>
                <w:rFonts w:hint="default" w:ascii="Times New Roman" w:hAnsi="Times New Roman" w:eastAsia="方正仿宋_GBK" w:cs="Times New Roman"/>
                <w:color w:val="000000"/>
                <w:szCs w:val="21"/>
                <w:lang w:val="en-US" w:eastAsia="zh-CN"/>
              </w:rPr>
              <w:t>3</w:t>
            </w:r>
            <w:r>
              <w:rPr>
                <w:rFonts w:hint="default" w:ascii="Times New Roman" w:hAnsi="Times New Roman" w:eastAsia="方正仿宋_GBK" w:cs="Times New Roman"/>
                <w:color w:val="000000"/>
                <w:szCs w:val="21"/>
              </w:rPr>
              <w:t>分；有部分挤占挪用的得</w:t>
            </w:r>
            <w:r>
              <w:rPr>
                <w:rFonts w:hint="default" w:ascii="Times New Roman" w:hAnsi="Times New Roman" w:eastAsia="方正仿宋_GBK" w:cs="Times New Roman"/>
                <w:color w:val="000000"/>
                <w:szCs w:val="21"/>
                <w:lang w:val="en-US" w:eastAsia="zh-CN"/>
              </w:rPr>
              <w:t>2</w:t>
            </w:r>
            <w:r>
              <w:rPr>
                <w:rFonts w:hint="default" w:ascii="Times New Roman" w:hAnsi="Times New Roman" w:eastAsia="方正仿宋_GBK" w:cs="Times New Roman"/>
                <w:color w:val="000000"/>
                <w:szCs w:val="21"/>
              </w:rPr>
              <w:t>分；未用于项目实施的不得分。</w:t>
            </w:r>
          </w:p>
        </w:tc>
        <w:tc>
          <w:tcPr>
            <w:tcW w:w="671" w:type="dxa"/>
            <w:noWrap w:val="0"/>
            <w:vAlign w:val="top"/>
          </w:tcPr>
          <w:p w14:paraId="43E928ED">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1E6A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65809167">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116E9DB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6AF449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财务管理</w:t>
            </w:r>
          </w:p>
        </w:tc>
        <w:tc>
          <w:tcPr>
            <w:tcW w:w="6140" w:type="dxa"/>
            <w:noWrap w:val="0"/>
            <w:vAlign w:val="center"/>
          </w:tcPr>
          <w:p w14:paraId="6AF6744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有完整的财务管理制度并严格执行得3分；有财务管理制度并按制度执行得1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2分；没有财务管理制度不得分。</w:t>
            </w:r>
          </w:p>
        </w:tc>
        <w:tc>
          <w:tcPr>
            <w:tcW w:w="671" w:type="dxa"/>
            <w:noWrap w:val="0"/>
            <w:vAlign w:val="top"/>
          </w:tcPr>
          <w:p w14:paraId="44EAF6E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7C67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37352BF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restart"/>
            <w:noWrap w:val="0"/>
            <w:vAlign w:val="center"/>
          </w:tcPr>
          <w:p w14:paraId="196CC9F3">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p w14:paraId="6C719803">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业务管理（10）</w:t>
            </w:r>
          </w:p>
          <w:p w14:paraId="181D80D8">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0AA68271">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技术培训</w:t>
            </w:r>
          </w:p>
        </w:tc>
        <w:tc>
          <w:tcPr>
            <w:tcW w:w="6140" w:type="dxa"/>
            <w:noWrap w:val="0"/>
            <w:vAlign w:val="center"/>
          </w:tcPr>
          <w:p w14:paraId="0C326EC2">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对新机械操作人员和技术人员进行技术培训并有培训记录的得3分；对新机械操作人员和技术人员进行技术培训，没有培训记录的得1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2分；没有对操作人员和技术人员进行培训的不得分。</w:t>
            </w:r>
          </w:p>
        </w:tc>
        <w:tc>
          <w:tcPr>
            <w:tcW w:w="671" w:type="dxa"/>
            <w:noWrap w:val="0"/>
            <w:vAlign w:val="top"/>
          </w:tcPr>
          <w:p w14:paraId="0609F995">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仿宋_GB2312" w:cs="Times New Roman"/>
                <w:color w:val="000000"/>
                <w:szCs w:val="21"/>
              </w:rPr>
            </w:pPr>
          </w:p>
        </w:tc>
      </w:tr>
      <w:tr w14:paraId="4BD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292AB75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217D8E23">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3803F7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技术指导</w:t>
            </w:r>
          </w:p>
        </w:tc>
        <w:tc>
          <w:tcPr>
            <w:tcW w:w="6140" w:type="dxa"/>
            <w:noWrap w:val="0"/>
            <w:vAlign w:val="center"/>
          </w:tcPr>
          <w:p w14:paraId="3B50482B">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有技术指导方案，各环节均开展技术指导，有指导记录得3分；技术指导方案不完整，开展技术指导不全面，技术指导记录不完整得1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2分；无技术指导方案、不开展技术指导，无指导记录不得分。</w:t>
            </w:r>
          </w:p>
        </w:tc>
        <w:tc>
          <w:tcPr>
            <w:tcW w:w="671" w:type="dxa"/>
            <w:noWrap w:val="0"/>
            <w:vAlign w:val="top"/>
          </w:tcPr>
          <w:p w14:paraId="117855E0">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仿宋_GB2312" w:cs="Times New Roman"/>
                <w:color w:val="000000"/>
                <w:szCs w:val="21"/>
              </w:rPr>
            </w:pPr>
          </w:p>
        </w:tc>
      </w:tr>
      <w:tr w14:paraId="1CC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35D8349D">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3AAD66B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C8280C9">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lang w:val="en-US" w:eastAsia="zh-CN"/>
              </w:rPr>
              <w:t xml:space="preserve"> 对比试验</w:t>
            </w:r>
          </w:p>
        </w:tc>
        <w:tc>
          <w:tcPr>
            <w:tcW w:w="6140" w:type="dxa"/>
            <w:noWrap w:val="0"/>
            <w:vAlign w:val="center"/>
          </w:tcPr>
          <w:p w14:paraId="6BE0C72F">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lang w:val="en-US" w:eastAsia="zh-CN"/>
              </w:rPr>
              <w:t>有对比试验方案并开展对比试验，试验数据记录全面、资料真实、试验报告完整，得2分；未开展对比试验，不得分。</w:t>
            </w:r>
          </w:p>
        </w:tc>
        <w:tc>
          <w:tcPr>
            <w:tcW w:w="671" w:type="dxa"/>
            <w:noWrap w:val="0"/>
            <w:vAlign w:val="center"/>
          </w:tcPr>
          <w:p w14:paraId="402EE730">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4CB8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0640034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1FDF90D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4A46F11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功能实现</w:t>
            </w:r>
          </w:p>
        </w:tc>
        <w:tc>
          <w:tcPr>
            <w:tcW w:w="6140" w:type="dxa"/>
            <w:noWrap w:val="0"/>
            <w:vAlign w:val="center"/>
          </w:tcPr>
          <w:p w14:paraId="233AB8CB">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按照签订实施方案实现全部预定功能的得2分；实现部分功能的得1分；无法实现预定功能的不得分。</w:t>
            </w:r>
          </w:p>
        </w:tc>
        <w:tc>
          <w:tcPr>
            <w:tcW w:w="671" w:type="dxa"/>
            <w:noWrap w:val="0"/>
            <w:vAlign w:val="center"/>
          </w:tcPr>
          <w:p w14:paraId="149FA86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0AEB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restart"/>
            <w:noWrap w:val="0"/>
            <w:vAlign w:val="center"/>
          </w:tcPr>
          <w:p w14:paraId="4B5DDE3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p w14:paraId="5A940399">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年度效益指标</w:t>
            </w:r>
            <w:r>
              <w:rPr>
                <w:rFonts w:hint="default" w:ascii="Times New Roman" w:hAnsi="Times New Roman" w:eastAsia="方正仿宋_GBK" w:cs="Times New Roman"/>
                <w:color w:val="000000"/>
                <w:sz w:val="20"/>
                <w:szCs w:val="20"/>
              </w:rPr>
              <w:t>（70分）</w:t>
            </w:r>
          </w:p>
        </w:tc>
        <w:tc>
          <w:tcPr>
            <w:tcW w:w="948" w:type="dxa"/>
            <w:vMerge w:val="restart"/>
            <w:noWrap w:val="0"/>
            <w:vAlign w:val="center"/>
          </w:tcPr>
          <w:p w14:paraId="156C7DCC">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产出指标（30）</w:t>
            </w:r>
          </w:p>
        </w:tc>
        <w:tc>
          <w:tcPr>
            <w:tcW w:w="1208" w:type="dxa"/>
            <w:noWrap w:val="0"/>
            <w:vAlign w:val="center"/>
          </w:tcPr>
          <w:p w14:paraId="533E321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lang w:eastAsia="zh-CN"/>
              </w:rPr>
              <w:t>熟化应用</w:t>
            </w:r>
          </w:p>
        </w:tc>
        <w:tc>
          <w:tcPr>
            <w:tcW w:w="6140" w:type="dxa"/>
            <w:noWrap w:val="0"/>
            <w:vAlign w:val="center"/>
          </w:tcPr>
          <w:p w14:paraId="33942600">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szCs w:val="21"/>
                <w:lang w:val="en-US" w:eastAsia="zh-CN"/>
              </w:rPr>
              <w:t>建立熟化应用基地3个及以上，推广面积达到500亩及以上的，得10分。否则，按比例相应扣分</w:t>
            </w:r>
          </w:p>
        </w:tc>
        <w:tc>
          <w:tcPr>
            <w:tcW w:w="671" w:type="dxa"/>
            <w:noWrap w:val="0"/>
            <w:vAlign w:val="center"/>
          </w:tcPr>
          <w:p w14:paraId="0A211CE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6BC9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0" w:type="dxa"/>
            <w:vMerge w:val="continue"/>
            <w:noWrap w:val="0"/>
            <w:vAlign w:val="center"/>
          </w:tcPr>
          <w:p w14:paraId="7FB3F457">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06C67F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5364230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kern w:val="0"/>
                <w:szCs w:val="21"/>
                <w:lang w:eastAsia="zh-CN"/>
              </w:rPr>
            </w:pPr>
            <w:r>
              <w:rPr>
                <w:rFonts w:hint="default" w:ascii="Times New Roman" w:hAnsi="Times New Roman" w:eastAsia="方正仿宋_GBK" w:cs="Times New Roman"/>
                <w:color w:val="000000"/>
                <w:kern w:val="0"/>
                <w:szCs w:val="21"/>
              </w:rPr>
              <w:t>专利</w:t>
            </w:r>
            <w:r>
              <w:rPr>
                <w:rFonts w:hint="default" w:ascii="Times New Roman" w:hAnsi="Times New Roman" w:eastAsia="方正仿宋_GBK" w:cs="Times New Roman"/>
                <w:color w:val="000000"/>
                <w:kern w:val="0"/>
                <w:szCs w:val="21"/>
                <w:lang w:eastAsia="zh-CN"/>
              </w:rPr>
              <w:t>申报</w:t>
            </w:r>
          </w:p>
        </w:tc>
        <w:tc>
          <w:tcPr>
            <w:tcW w:w="6140" w:type="dxa"/>
            <w:noWrap w:val="0"/>
            <w:vAlign w:val="center"/>
          </w:tcPr>
          <w:p w14:paraId="2E043661">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申报</w:t>
            </w:r>
            <w:r>
              <w:rPr>
                <w:rFonts w:hint="default" w:ascii="Times New Roman" w:hAnsi="Times New Roman" w:eastAsia="方正仿宋_GBK" w:cs="Times New Roman"/>
                <w:color w:val="000000"/>
                <w:szCs w:val="21"/>
              </w:rPr>
              <w:t>专利或作业规范的得7</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10分；没有的不得分。</w:t>
            </w:r>
          </w:p>
        </w:tc>
        <w:tc>
          <w:tcPr>
            <w:tcW w:w="671" w:type="dxa"/>
            <w:noWrap w:val="0"/>
            <w:vAlign w:val="center"/>
          </w:tcPr>
          <w:p w14:paraId="2E7C6B0C">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70C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707BFC6F">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1C63BA6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44EC104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信息宣传</w:t>
            </w:r>
          </w:p>
        </w:tc>
        <w:tc>
          <w:tcPr>
            <w:tcW w:w="6140" w:type="dxa"/>
            <w:noWrap w:val="0"/>
            <w:vAlign w:val="center"/>
          </w:tcPr>
          <w:p w14:paraId="1FFCFBC6">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szCs w:val="21"/>
              </w:rPr>
              <w:t>在县级及以上相关媒体上围绕项目实施进行宣传报道且宣传效果明显的得8</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10分；仅有宣传简报且宣传效果</w:t>
            </w:r>
            <w:r>
              <w:rPr>
                <w:rFonts w:hint="default" w:ascii="Times New Roman" w:hAnsi="Times New Roman" w:eastAsia="方正仿宋_GBK" w:cs="Times New Roman"/>
                <w:color w:val="000000"/>
                <w:szCs w:val="21"/>
                <w:lang w:eastAsia="zh-CN"/>
              </w:rPr>
              <w:t>一般</w:t>
            </w:r>
            <w:r>
              <w:rPr>
                <w:rFonts w:hint="default" w:ascii="Times New Roman" w:hAnsi="Times New Roman" w:eastAsia="方正仿宋_GBK" w:cs="Times New Roman"/>
                <w:color w:val="000000"/>
                <w:szCs w:val="21"/>
              </w:rPr>
              <w:t>的得5</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7</w:t>
            </w:r>
            <w:r>
              <w:rPr>
                <w:rFonts w:hint="default" w:ascii="Times New Roman" w:hAnsi="Times New Roman" w:eastAsia="方正仿宋_GBK" w:cs="Times New Roman"/>
                <w:color w:val="000000"/>
                <w:szCs w:val="21"/>
                <w:lang w:eastAsia="zh-CN"/>
              </w:rPr>
              <w:t>分</w:t>
            </w:r>
            <w:r>
              <w:rPr>
                <w:rFonts w:hint="default" w:ascii="Times New Roman" w:hAnsi="Times New Roman" w:eastAsia="方正仿宋_GBK" w:cs="Times New Roman"/>
                <w:color w:val="000000"/>
                <w:szCs w:val="21"/>
              </w:rPr>
              <w:t>；不宣传不报道的不得分。</w:t>
            </w:r>
          </w:p>
        </w:tc>
        <w:tc>
          <w:tcPr>
            <w:tcW w:w="671" w:type="dxa"/>
            <w:noWrap w:val="0"/>
            <w:vAlign w:val="center"/>
          </w:tcPr>
          <w:p w14:paraId="2583EC3B">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360D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636C6F7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restart"/>
            <w:noWrap w:val="0"/>
            <w:vAlign w:val="center"/>
          </w:tcPr>
          <w:p w14:paraId="7DC162B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效益指标</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30</w:t>
            </w:r>
            <w:r>
              <w:rPr>
                <w:rFonts w:hint="default" w:ascii="Times New Roman" w:hAnsi="Times New Roman" w:eastAsia="方正仿宋_GBK" w:cs="Times New Roman"/>
                <w:color w:val="000000"/>
                <w:szCs w:val="21"/>
                <w:lang w:eastAsia="zh-CN"/>
              </w:rPr>
              <w:t>）</w:t>
            </w:r>
          </w:p>
        </w:tc>
        <w:tc>
          <w:tcPr>
            <w:tcW w:w="1208" w:type="dxa"/>
            <w:noWrap w:val="0"/>
            <w:vAlign w:val="center"/>
          </w:tcPr>
          <w:p w14:paraId="6131A90C">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经济效益</w:t>
            </w:r>
          </w:p>
        </w:tc>
        <w:tc>
          <w:tcPr>
            <w:tcW w:w="6140" w:type="dxa"/>
            <w:noWrap w:val="0"/>
            <w:vAlign w:val="center"/>
          </w:tcPr>
          <w:p w14:paraId="7DC7016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项目研发机械</w:t>
            </w:r>
            <w:r>
              <w:rPr>
                <w:rFonts w:hint="default" w:ascii="Times New Roman" w:hAnsi="Times New Roman" w:eastAsia="方正仿宋_GBK" w:cs="Times New Roman"/>
                <w:color w:val="000000"/>
                <w:kern w:val="0"/>
                <w:szCs w:val="21"/>
                <w:lang w:eastAsia="zh-CN"/>
              </w:rPr>
              <w:t>有效提高了</w:t>
            </w:r>
            <w:r>
              <w:rPr>
                <w:rFonts w:hint="default" w:ascii="Times New Roman" w:hAnsi="Times New Roman" w:eastAsia="方正仿宋_GBK" w:cs="Times New Roman"/>
                <w:color w:val="000000"/>
                <w:kern w:val="0"/>
                <w:szCs w:val="21"/>
              </w:rPr>
              <w:t>该环节的机械化作业</w:t>
            </w:r>
            <w:r>
              <w:rPr>
                <w:rFonts w:hint="default" w:ascii="Times New Roman" w:hAnsi="Times New Roman" w:eastAsia="方正仿宋_GBK" w:cs="Times New Roman"/>
                <w:color w:val="000000"/>
                <w:kern w:val="0"/>
                <w:szCs w:val="21"/>
                <w:lang w:eastAsia="zh-CN"/>
              </w:rPr>
              <w:t>效率</w:t>
            </w:r>
            <w:r>
              <w:rPr>
                <w:rFonts w:hint="default" w:ascii="Times New Roman" w:hAnsi="Times New Roman" w:eastAsia="方正仿宋_GBK" w:cs="Times New Roman"/>
                <w:color w:val="000000"/>
                <w:kern w:val="0"/>
                <w:szCs w:val="21"/>
              </w:rPr>
              <w:t>且使用效果良好的得10分；项目研发机械</w:t>
            </w:r>
            <w:r>
              <w:rPr>
                <w:rFonts w:hint="default" w:ascii="Times New Roman" w:hAnsi="Times New Roman" w:eastAsia="方正仿宋_GBK" w:cs="Times New Roman"/>
                <w:color w:val="000000"/>
                <w:kern w:val="0"/>
                <w:szCs w:val="21"/>
                <w:lang w:eastAsia="zh-CN"/>
              </w:rPr>
              <w:t>提高了</w:t>
            </w:r>
            <w:r>
              <w:rPr>
                <w:rFonts w:hint="default" w:ascii="Times New Roman" w:hAnsi="Times New Roman" w:eastAsia="方正仿宋_GBK" w:cs="Times New Roman"/>
                <w:color w:val="000000"/>
                <w:kern w:val="0"/>
                <w:szCs w:val="21"/>
              </w:rPr>
              <w:t>该环节的机械化作业</w:t>
            </w:r>
            <w:r>
              <w:rPr>
                <w:rFonts w:hint="default" w:ascii="Times New Roman" w:hAnsi="Times New Roman" w:eastAsia="方正仿宋_GBK" w:cs="Times New Roman"/>
                <w:color w:val="000000"/>
                <w:kern w:val="0"/>
                <w:szCs w:val="21"/>
                <w:lang w:eastAsia="zh-CN"/>
              </w:rPr>
              <w:t>效率</w:t>
            </w:r>
            <w:r>
              <w:rPr>
                <w:rFonts w:hint="default" w:ascii="Times New Roman" w:hAnsi="Times New Roman" w:eastAsia="方正仿宋_GBK" w:cs="Times New Roman"/>
                <w:color w:val="000000"/>
                <w:kern w:val="0"/>
                <w:szCs w:val="21"/>
              </w:rPr>
              <w:t>，使用效果一般的得5</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9分；项目研发机械达不到预期效果的不得分。</w:t>
            </w:r>
          </w:p>
        </w:tc>
        <w:tc>
          <w:tcPr>
            <w:tcW w:w="671" w:type="dxa"/>
            <w:noWrap w:val="0"/>
            <w:vAlign w:val="center"/>
          </w:tcPr>
          <w:p w14:paraId="42745711">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74F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D5A0FB6">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1AE865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859E06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社会效益</w:t>
            </w:r>
          </w:p>
        </w:tc>
        <w:tc>
          <w:tcPr>
            <w:tcW w:w="6140" w:type="dxa"/>
            <w:noWrap w:val="0"/>
            <w:vAlign w:val="center"/>
          </w:tcPr>
          <w:p w14:paraId="56C7049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有很强的示范带动作用得10分；有较强示范带动作用得4</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8分；没有示范带动作用不得分。</w:t>
            </w:r>
          </w:p>
        </w:tc>
        <w:tc>
          <w:tcPr>
            <w:tcW w:w="671" w:type="dxa"/>
            <w:noWrap w:val="0"/>
            <w:vAlign w:val="center"/>
          </w:tcPr>
          <w:p w14:paraId="1D4ED02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51D6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081A6480">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F1E90A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1B6F37B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生态效益</w:t>
            </w:r>
          </w:p>
        </w:tc>
        <w:tc>
          <w:tcPr>
            <w:tcW w:w="6140" w:type="dxa"/>
            <w:noWrap w:val="0"/>
            <w:vAlign w:val="center"/>
          </w:tcPr>
          <w:p w14:paraId="3A2AD08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项目实施促进生态环境改善、社会影响好得10分；有较强的生态效益、社会影响较好，得4</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9分；没有生态效益不得分。</w:t>
            </w:r>
          </w:p>
        </w:tc>
        <w:tc>
          <w:tcPr>
            <w:tcW w:w="671" w:type="dxa"/>
            <w:noWrap w:val="0"/>
            <w:vAlign w:val="center"/>
          </w:tcPr>
          <w:p w14:paraId="1355867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5DFD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32EB27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noWrap w:val="0"/>
            <w:vAlign w:val="center"/>
          </w:tcPr>
          <w:p w14:paraId="228A4596">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满意度</w:t>
            </w:r>
          </w:p>
          <w:p w14:paraId="2EEE647B">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指标</w:t>
            </w:r>
          </w:p>
          <w:p w14:paraId="1AFA2529">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lang w:val="en-US" w:eastAsia="zh-CN"/>
              </w:rPr>
              <w:t>1</w:t>
            </w:r>
            <w:r>
              <w:rPr>
                <w:rFonts w:hint="default" w:ascii="Times New Roman" w:hAnsi="Times New Roman" w:eastAsia="方正仿宋_GBK" w:cs="Times New Roman"/>
                <w:color w:val="000000"/>
                <w:szCs w:val="21"/>
              </w:rPr>
              <w:t>0</w:t>
            </w:r>
            <w:r>
              <w:rPr>
                <w:rFonts w:hint="default" w:ascii="Times New Roman" w:hAnsi="Times New Roman" w:eastAsia="方正仿宋_GBK" w:cs="Times New Roman"/>
                <w:color w:val="000000"/>
                <w:szCs w:val="21"/>
                <w:lang w:eastAsia="zh-CN"/>
              </w:rPr>
              <w:t>）</w:t>
            </w:r>
          </w:p>
        </w:tc>
        <w:tc>
          <w:tcPr>
            <w:tcW w:w="1208" w:type="dxa"/>
            <w:noWrap w:val="0"/>
            <w:vAlign w:val="center"/>
          </w:tcPr>
          <w:p w14:paraId="66E52147">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服务对象满意度</w:t>
            </w:r>
          </w:p>
        </w:tc>
        <w:tc>
          <w:tcPr>
            <w:tcW w:w="6140" w:type="dxa"/>
            <w:noWrap w:val="0"/>
            <w:vAlign w:val="center"/>
          </w:tcPr>
          <w:p w14:paraId="58153E19">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十分满意得10分；基本满意得5</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9分；不满意不得分。</w:t>
            </w:r>
          </w:p>
        </w:tc>
        <w:tc>
          <w:tcPr>
            <w:tcW w:w="671" w:type="dxa"/>
            <w:noWrap w:val="0"/>
            <w:vAlign w:val="center"/>
          </w:tcPr>
          <w:p w14:paraId="2AB8D82A">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2C98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9066" w:type="dxa"/>
            <w:gridSpan w:val="4"/>
            <w:noWrap w:val="0"/>
            <w:vAlign w:val="center"/>
          </w:tcPr>
          <w:p w14:paraId="66C10C0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b/>
                <w:bCs/>
                <w:color w:val="000000"/>
                <w:sz w:val="24"/>
                <w:szCs w:val="24"/>
                <w:lang w:val="en-US" w:eastAsia="zh-CN"/>
              </w:rPr>
              <w:t>总分</w:t>
            </w:r>
          </w:p>
        </w:tc>
        <w:tc>
          <w:tcPr>
            <w:tcW w:w="671" w:type="dxa"/>
            <w:noWrap w:val="0"/>
            <w:vAlign w:val="center"/>
          </w:tcPr>
          <w:p w14:paraId="67730B82">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bl>
    <w:p w14:paraId="235A73EC">
      <w:pP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br w:type="page"/>
      </w:r>
    </w:p>
    <w:p w14:paraId="1E188634">
      <w:pPr>
        <w:spacing w:line="580" w:lineRule="exact"/>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附表</w:t>
      </w:r>
      <w:r>
        <w:rPr>
          <w:rFonts w:hint="eastAsia" w:ascii="Times New Roman" w:hAnsi="Times New Roman" w:eastAsia="方正仿宋_GBK" w:cs="方正仿宋_GBK"/>
          <w:sz w:val="32"/>
          <w:szCs w:val="32"/>
          <w:lang w:val="en-US" w:eastAsia="zh-CN"/>
        </w:rPr>
        <w:t>2</w:t>
      </w:r>
    </w:p>
    <w:tbl>
      <w:tblPr>
        <w:tblStyle w:val="11"/>
        <w:tblW w:w="9180" w:type="dxa"/>
        <w:tblInd w:w="-200" w:type="dxa"/>
        <w:tblLayout w:type="fixed"/>
        <w:tblCellMar>
          <w:top w:w="0" w:type="dxa"/>
          <w:left w:w="108" w:type="dxa"/>
          <w:bottom w:w="0" w:type="dxa"/>
          <w:right w:w="108" w:type="dxa"/>
        </w:tblCellMar>
      </w:tblPr>
      <w:tblGrid>
        <w:gridCol w:w="972"/>
        <w:gridCol w:w="1140"/>
        <w:gridCol w:w="310"/>
        <w:gridCol w:w="836"/>
        <w:gridCol w:w="1386"/>
        <w:gridCol w:w="1670"/>
        <w:gridCol w:w="1306"/>
        <w:gridCol w:w="1560"/>
      </w:tblGrid>
      <w:tr w14:paraId="3AC4A434">
        <w:tblPrEx>
          <w:tblCellMar>
            <w:top w:w="0" w:type="dxa"/>
            <w:left w:w="108" w:type="dxa"/>
            <w:bottom w:w="0" w:type="dxa"/>
            <w:right w:w="108" w:type="dxa"/>
          </w:tblCellMar>
        </w:tblPrEx>
        <w:trPr>
          <w:trHeight w:val="692" w:hRule="atLeast"/>
        </w:trPr>
        <w:tc>
          <w:tcPr>
            <w:tcW w:w="9180" w:type="dxa"/>
            <w:gridSpan w:val="8"/>
            <w:tcBorders>
              <w:top w:val="nil"/>
              <w:left w:val="nil"/>
              <w:bottom w:val="nil"/>
              <w:right w:val="nil"/>
            </w:tcBorders>
            <w:shd w:val="clear" w:color="auto" w:fill="auto"/>
            <w:vAlign w:val="center"/>
          </w:tcPr>
          <w:p w14:paraId="02D884AE">
            <w:pPr>
              <w:widowControl/>
              <w:jc w:val="center"/>
              <w:rPr>
                <w:rFonts w:hint="eastAsia" w:ascii="仿宋" w:hAnsi="仿宋" w:eastAsia="仿宋" w:cs="仿宋"/>
                <w:kern w:val="0"/>
                <w:sz w:val="36"/>
                <w:szCs w:val="36"/>
              </w:rPr>
            </w:pPr>
            <w:r>
              <w:rPr>
                <w:rFonts w:hint="eastAsia" w:ascii="方正小标宋_GBK" w:hAnsi="方正小标宋_GBK" w:eastAsia="方正小标宋_GBK" w:cs="方正小标宋_GBK"/>
                <w:i w:val="0"/>
                <w:color w:val="000000"/>
                <w:kern w:val="0"/>
                <w:sz w:val="40"/>
                <w:szCs w:val="40"/>
                <w:u w:val="none"/>
                <w:lang w:val="en-US" w:eastAsia="zh-CN" w:bidi="ar"/>
              </w:rPr>
              <w:t>自治区财政支农项目区域性绩效目标申报表</w:t>
            </w:r>
          </w:p>
        </w:tc>
      </w:tr>
      <w:tr w14:paraId="0D5D345F">
        <w:tblPrEx>
          <w:tblCellMar>
            <w:top w:w="0" w:type="dxa"/>
            <w:left w:w="108" w:type="dxa"/>
            <w:bottom w:w="0" w:type="dxa"/>
            <w:right w:w="108" w:type="dxa"/>
          </w:tblCellMar>
        </w:tblPrEx>
        <w:trPr>
          <w:trHeight w:val="385" w:hRule="atLeast"/>
        </w:trPr>
        <w:tc>
          <w:tcPr>
            <w:tcW w:w="9180" w:type="dxa"/>
            <w:gridSpan w:val="8"/>
            <w:tcBorders>
              <w:top w:val="nil"/>
              <w:left w:val="nil"/>
              <w:bottom w:val="nil"/>
              <w:right w:val="nil"/>
            </w:tcBorders>
            <w:shd w:val="clear" w:color="auto" w:fill="auto"/>
            <w:vAlign w:val="center"/>
          </w:tcPr>
          <w:p w14:paraId="5F66A2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szCs w:val="24"/>
              </w:rPr>
            </w:pPr>
            <w:r>
              <w:rPr>
                <w:rFonts w:hint="eastAsia" w:ascii="方正仿宋_GBK" w:hAnsi="方正仿宋_GBK" w:eastAsia="方正仿宋_GBK" w:cs="方正仿宋_GBK"/>
                <w:kern w:val="0"/>
                <w:sz w:val="24"/>
                <w:szCs w:val="24"/>
              </w:rPr>
              <w:t>（</w:t>
            </w:r>
            <w:r>
              <w:rPr>
                <w:rFonts w:hint="eastAsia" w:ascii="Times New Roman" w:hAnsi="Times New Roman" w:eastAsia="方正仿宋_GBK" w:cs="方正仿宋_GBK"/>
                <w:kern w:val="0"/>
                <w:sz w:val="24"/>
                <w:szCs w:val="24"/>
              </w:rPr>
              <w:t>202</w:t>
            </w:r>
            <w:r>
              <w:rPr>
                <w:rFonts w:hint="eastAsia"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rPr>
              <w:t>年度）</w:t>
            </w:r>
          </w:p>
        </w:tc>
      </w:tr>
      <w:tr w14:paraId="3BD60C77">
        <w:tblPrEx>
          <w:tblCellMar>
            <w:top w:w="0" w:type="dxa"/>
            <w:left w:w="108" w:type="dxa"/>
            <w:bottom w:w="0" w:type="dxa"/>
            <w:right w:w="108" w:type="dxa"/>
          </w:tblCellMar>
        </w:tblPrEx>
        <w:trPr>
          <w:trHeight w:val="448" w:hRule="atLeast"/>
        </w:trPr>
        <w:tc>
          <w:tcPr>
            <w:tcW w:w="242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AE2F10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专项名称</w:t>
            </w:r>
          </w:p>
        </w:tc>
        <w:tc>
          <w:tcPr>
            <w:tcW w:w="6758" w:type="dxa"/>
            <w:gridSpan w:val="5"/>
            <w:tcBorders>
              <w:top w:val="single" w:color="auto" w:sz="4" w:space="0"/>
              <w:left w:val="nil"/>
              <w:bottom w:val="single" w:color="auto" w:sz="4" w:space="0"/>
              <w:right w:val="single" w:color="000000" w:sz="4" w:space="0"/>
            </w:tcBorders>
            <w:shd w:val="clear" w:color="auto" w:fill="auto"/>
            <w:vAlign w:val="center"/>
          </w:tcPr>
          <w:p w14:paraId="06B4A4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青铜峡</w:t>
            </w:r>
            <w:r>
              <w:rPr>
                <w:rFonts w:hint="default" w:ascii="Times New Roman" w:hAnsi="Times New Roman" w:eastAsia="方正仿宋_GBK" w:cs="Times New Roman"/>
                <w:kern w:val="0"/>
                <w:sz w:val="21"/>
                <w:szCs w:val="21"/>
                <w:lang w:eastAsia="zh-CN"/>
              </w:rPr>
              <w:t>市2026年</w:t>
            </w:r>
            <w:r>
              <w:rPr>
                <w:rFonts w:hint="eastAsia" w:ascii="方正仿宋_GBK" w:hAnsi="方正仿宋_GBK" w:eastAsia="方正仿宋_GBK" w:cs="方正仿宋_GBK"/>
                <w:kern w:val="0"/>
                <w:sz w:val="21"/>
                <w:szCs w:val="21"/>
                <w:lang w:eastAsia="zh-CN"/>
              </w:rPr>
              <w:t>农业新机械改制与熟化应用项目</w:t>
            </w:r>
          </w:p>
        </w:tc>
      </w:tr>
      <w:tr w14:paraId="0E9F049E">
        <w:tblPrEx>
          <w:tblCellMar>
            <w:top w:w="0" w:type="dxa"/>
            <w:left w:w="108" w:type="dxa"/>
            <w:bottom w:w="0" w:type="dxa"/>
            <w:right w:w="108" w:type="dxa"/>
          </w:tblCellMar>
        </w:tblPrEx>
        <w:trPr>
          <w:trHeight w:val="448" w:hRule="atLeast"/>
        </w:trPr>
        <w:tc>
          <w:tcPr>
            <w:tcW w:w="242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DBC577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自治区主管部门</w:t>
            </w:r>
          </w:p>
        </w:tc>
        <w:tc>
          <w:tcPr>
            <w:tcW w:w="2222" w:type="dxa"/>
            <w:gridSpan w:val="2"/>
            <w:tcBorders>
              <w:top w:val="single" w:color="auto" w:sz="4" w:space="0"/>
              <w:left w:val="nil"/>
              <w:bottom w:val="single" w:color="auto" w:sz="4" w:space="0"/>
              <w:right w:val="single" w:color="000000" w:sz="4" w:space="0"/>
            </w:tcBorders>
            <w:shd w:val="clear" w:color="auto" w:fill="auto"/>
            <w:vAlign w:val="center"/>
          </w:tcPr>
          <w:p w14:paraId="0842E3F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自治区农业农村厅</w:t>
            </w:r>
          </w:p>
        </w:tc>
        <w:tc>
          <w:tcPr>
            <w:tcW w:w="1670" w:type="dxa"/>
            <w:tcBorders>
              <w:top w:val="nil"/>
              <w:left w:val="nil"/>
              <w:bottom w:val="single" w:color="auto" w:sz="4" w:space="0"/>
              <w:right w:val="single" w:color="auto" w:sz="4" w:space="0"/>
            </w:tcBorders>
            <w:shd w:val="clear" w:color="auto" w:fill="auto"/>
            <w:vAlign w:val="center"/>
          </w:tcPr>
          <w:p w14:paraId="0C12864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专项实施期</w:t>
            </w:r>
          </w:p>
        </w:tc>
        <w:tc>
          <w:tcPr>
            <w:tcW w:w="2866" w:type="dxa"/>
            <w:gridSpan w:val="2"/>
            <w:tcBorders>
              <w:top w:val="single" w:color="auto" w:sz="4" w:space="0"/>
              <w:left w:val="nil"/>
              <w:bottom w:val="single" w:color="auto" w:sz="4" w:space="0"/>
              <w:right w:val="single" w:color="000000" w:sz="4" w:space="0"/>
            </w:tcBorders>
            <w:shd w:val="clear" w:color="auto" w:fill="auto"/>
            <w:vAlign w:val="center"/>
          </w:tcPr>
          <w:p w14:paraId="4DB4297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Times New Roman" w:hAnsi="Times New Roman" w:eastAsia="方正仿宋_GBK" w:cs="方正仿宋_GBK"/>
                <w:kern w:val="0"/>
                <w:sz w:val="21"/>
                <w:szCs w:val="21"/>
                <w:lang w:val="en-US" w:eastAsia="zh-CN"/>
              </w:rPr>
              <w:t>202</w:t>
            </w:r>
            <w:r>
              <w:rPr>
                <w:rFonts w:hint="eastAsia" w:eastAsia="方正仿宋_GBK" w:cs="方正仿宋_GBK"/>
                <w:kern w:val="0"/>
                <w:sz w:val="21"/>
                <w:szCs w:val="21"/>
                <w:lang w:val="en-US" w:eastAsia="zh-CN"/>
              </w:rPr>
              <w:t>6</w:t>
            </w:r>
            <w:r>
              <w:rPr>
                <w:rFonts w:hint="eastAsia" w:ascii="方正仿宋_GBK" w:hAnsi="方正仿宋_GBK" w:eastAsia="方正仿宋_GBK" w:cs="方正仿宋_GBK"/>
                <w:kern w:val="0"/>
                <w:sz w:val="21"/>
                <w:szCs w:val="21"/>
                <w:lang w:val="en-US" w:eastAsia="zh-CN"/>
              </w:rPr>
              <w:t>年</w:t>
            </w:r>
            <w:r>
              <w:rPr>
                <w:rFonts w:hint="eastAsia" w:ascii="Times New Roman" w:hAnsi="Times New Roman" w:eastAsia="方正仿宋_GBK" w:cs="方正仿宋_GBK"/>
                <w:kern w:val="0"/>
                <w:sz w:val="21"/>
                <w:szCs w:val="21"/>
                <w:lang w:val="en-US" w:eastAsia="zh-CN"/>
              </w:rPr>
              <w:t>1</w:t>
            </w:r>
            <w:r>
              <w:rPr>
                <w:rFonts w:hint="eastAsia" w:eastAsia="方正仿宋_GBK" w:cs="方正仿宋_GBK"/>
                <w:kern w:val="0"/>
                <w:sz w:val="21"/>
                <w:szCs w:val="21"/>
                <w:lang w:val="en-US" w:eastAsia="zh-CN"/>
              </w:rPr>
              <w:t>—</w:t>
            </w:r>
            <w:r>
              <w:rPr>
                <w:rFonts w:hint="eastAsia" w:ascii="Times New Roman" w:hAnsi="Times New Roman" w:eastAsia="方正仿宋_GBK" w:cs="方正仿宋_GBK"/>
                <w:kern w:val="0"/>
                <w:sz w:val="21"/>
                <w:szCs w:val="21"/>
                <w:lang w:val="en-US" w:eastAsia="zh-CN"/>
              </w:rPr>
              <w:t>12</w:t>
            </w:r>
            <w:r>
              <w:rPr>
                <w:rFonts w:hint="eastAsia" w:ascii="方正仿宋_GBK" w:hAnsi="方正仿宋_GBK" w:eastAsia="方正仿宋_GBK" w:cs="方正仿宋_GBK"/>
                <w:kern w:val="0"/>
                <w:sz w:val="21"/>
                <w:szCs w:val="21"/>
                <w:lang w:val="en-US" w:eastAsia="zh-CN"/>
              </w:rPr>
              <w:t xml:space="preserve">月 </w:t>
            </w:r>
          </w:p>
        </w:tc>
      </w:tr>
      <w:tr w14:paraId="29CB013B">
        <w:tblPrEx>
          <w:tblCellMar>
            <w:top w:w="0" w:type="dxa"/>
            <w:left w:w="108" w:type="dxa"/>
            <w:bottom w:w="0" w:type="dxa"/>
            <w:right w:w="108" w:type="dxa"/>
          </w:tblCellMar>
        </w:tblPrEx>
        <w:trPr>
          <w:trHeight w:val="448" w:hRule="atLeast"/>
        </w:trPr>
        <w:tc>
          <w:tcPr>
            <w:tcW w:w="242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4CE084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市县财政部门</w:t>
            </w:r>
          </w:p>
        </w:tc>
        <w:tc>
          <w:tcPr>
            <w:tcW w:w="2222" w:type="dxa"/>
            <w:gridSpan w:val="2"/>
            <w:tcBorders>
              <w:top w:val="single" w:color="auto" w:sz="4" w:space="0"/>
              <w:left w:val="nil"/>
              <w:bottom w:val="single" w:color="auto" w:sz="4" w:space="0"/>
              <w:right w:val="single" w:color="000000" w:sz="4" w:space="0"/>
            </w:tcBorders>
            <w:shd w:val="clear" w:color="auto" w:fill="auto"/>
            <w:vAlign w:val="center"/>
          </w:tcPr>
          <w:p w14:paraId="2868E9F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青铜峡市财政局</w:t>
            </w:r>
          </w:p>
        </w:tc>
        <w:tc>
          <w:tcPr>
            <w:tcW w:w="1670" w:type="dxa"/>
            <w:tcBorders>
              <w:top w:val="nil"/>
              <w:left w:val="nil"/>
              <w:bottom w:val="single" w:color="auto" w:sz="4" w:space="0"/>
              <w:right w:val="single" w:color="auto" w:sz="4" w:space="0"/>
            </w:tcBorders>
            <w:shd w:val="clear" w:color="auto" w:fill="auto"/>
            <w:vAlign w:val="center"/>
          </w:tcPr>
          <w:p w14:paraId="1F4480A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市县主管部门</w:t>
            </w:r>
          </w:p>
        </w:tc>
        <w:tc>
          <w:tcPr>
            <w:tcW w:w="2866" w:type="dxa"/>
            <w:gridSpan w:val="2"/>
            <w:tcBorders>
              <w:top w:val="single" w:color="auto" w:sz="4" w:space="0"/>
              <w:left w:val="nil"/>
              <w:bottom w:val="single" w:color="auto" w:sz="4" w:space="0"/>
              <w:right w:val="single" w:color="000000" w:sz="4" w:space="0"/>
            </w:tcBorders>
            <w:shd w:val="clear" w:color="auto" w:fill="auto"/>
            <w:vAlign w:val="center"/>
          </w:tcPr>
          <w:p w14:paraId="6ADDE76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 xml:space="preserve">青铜峡市农业农村局 </w:t>
            </w:r>
          </w:p>
        </w:tc>
      </w:tr>
      <w:tr w14:paraId="0D746E87">
        <w:tblPrEx>
          <w:tblCellMar>
            <w:top w:w="0" w:type="dxa"/>
            <w:left w:w="108" w:type="dxa"/>
            <w:bottom w:w="0" w:type="dxa"/>
            <w:right w:w="108" w:type="dxa"/>
          </w:tblCellMar>
        </w:tblPrEx>
        <w:trPr>
          <w:trHeight w:val="400" w:hRule="atLeast"/>
        </w:trPr>
        <w:tc>
          <w:tcPr>
            <w:tcW w:w="972" w:type="dxa"/>
            <w:vMerge w:val="restart"/>
            <w:tcBorders>
              <w:top w:val="nil"/>
              <w:left w:val="single" w:color="auto" w:sz="4" w:space="0"/>
              <w:bottom w:val="single" w:color="auto" w:sz="4" w:space="0"/>
              <w:right w:val="single" w:color="auto" w:sz="4" w:space="0"/>
            </w:tcBorders>
            <w:shd w:val="clear" w:color="auto" w:fill="auto"/>
            <w:vAlign w:val="center"/>
          </w:tcPr>
          <w:p w14:paraId="57E808B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资金</w:t>
            </w:r>
          </w:p>
          <w:p w14:paraId="209EC87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情况</w:t>
            </w:r>
          </w:p>
          <w:p w14:paraId="7A300CC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万元</w:t>
            </w:r>
            <w:r>
              <w:rPr>
                <w:rFonts w:hint="eastAsia" w:ascii="方正仿宋_GBK" w:hAnsi="方正仿宋_GBK" w:eastAsia="方正仿宋_GBK" w:cs="方正仿宋_GBK"/>
                <w:kern w:val="0"/>
                <w:sz w:val="21"/>
                <w:szCs w:val="21"/>
                <w:lang w:eastAsia="zh-CN"/>
              </w:rPr>
              <w:t>）</w:t>
            </w: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7127787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年度金额：</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64444DE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r>
      <w:tr w14:paraId="5BA496E6">
        <w:tblPrEx>
          <w:tblCellMar>
            <w:top w:w="0" w:type="dxa"/>
            <w:left w:w="108" w:type="dxa"/>
            <w:bottom w:w="0" w:type="dxa"/>
            <w:right w:w="108" w:type="dxa"/>
          </w:tblCellMar>
        </w:tblPrEx>
        <w:trPr>
          <w:trHeight w:val="412" w:hRule="atLeast"/>
        </w:trPr>
        <w:tc>
          <w:tcPr>
            <w:tcW w:w="972" w:type="dxa"/>
            <w:vMerge w:val="continue"/>
            <w:tcBorders>
              <w:top w:val="nil"/>
              <w:left w:val="single" w:color="auto" w:sz="4" w:space="0"/>
              <w:bottom w:val="single" w:color="auto" w:sz="4" w:space="0"/>
              <w:right w:val="single" w:color="auto" w:sz="4" w:space="0"/>
            </w:tcBorders>
            <w:vAlign w:val="center"/>
          </w:tcPr>
          <w:p w14:paraId="784730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1071CDA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其中：</w:t>
            </w:r>
            <w:r>
              <w:rPr>
                <w:rFonts w:hint="eastAsia" w:ascii="方正仿宋_GBK" w:hAnsi="方正仿宋_GBK" w:eastAsia="方正仿宋_GBK" w:cs="方正仿宋_GBK"/>
                <w:kern w:val="0"/>
                <w:sz w:val="21"/>
                <w:szCs w:val="21"/>
                <w:lang w:eastAsia="zh-CN"/>
              </w:rPr>
              <w:t>中央</w:t>
            </w:r>
            <w:r>
              <w:rPr>
                <w:rFonts w:hint="eastAsia" w:ascii="方正仿宋_GBK" w:hAnsi="方正仿宋_GBK" w:eastAsia="方正仿宋_GBK" w:cs="方正仿宋_GBK"/>
                <w:kern w:val="0"/>
                <w:sz w:val="21"/>
                <w:szCs w:val="21"/>
              </w:rPr>
              <w:t>补助</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402042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1"/>
                <w:szCs w:val="21"/>
                <w:lang w:eastAsia="zh-CN"/>
              </w:rPr>
            </w:pPr>
          </w:p>
        </w:tc>
      </w:tr>
      <w:tr w14:paraId="3F767B7B">
        <w:tblPrEx>
          <w:tblCellMar>
            <w:top w:w="0" w:type="dxa"/>
            <w:left w:w="108" w:type="dxa"/>
            <w:bottom w:w="0" w:type="dxa"/>
            <w:right w:w="108" w:type="dxa"/>
          </w:tblCellMar>
        </w:tblPrEx>
        <w:trPr>
          <w:trHeight w:val="412" w:hRule="atLeast"/>
        </w:trPr>
        <w:tc>
          <w:tcPr>
            <w:tcW w:w="972" w:type="dxa"/>
            <w:vMerge w:val="continue"/>
            <w:tcBorders>
              <w:top w:val="nil"/>
              <w:left w:val="single" w:color="auto" w:sz="4" w:space="0"/>
              <w:bottom w:val="single" w:color="auto" w:sz="4" w:space="0"/>
              <w:right w:val="single" w:color="auto" w:sz="4" w:space="0"/>
            </w:tcBorders>
            <w:vAlign w:val="center"/>
          </w:tcPr>
          <w:p w14:paraId="772F20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1C8DBAD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自治区补助</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64E187C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r>
      <w:tr w14:paraId="1D27176F">
        <w:tblPrEx>
          <w:tblCellMar>
            <w:top w:w="0" w:type="dxa"/>
            <w:left w:w="108" w:type="dxa"/>
            <w:bottom w:w="0" w:type="dxa"/>
            <w:right w:w="108" w:type="dxa"/>
          </w:tblCellMar>
        </w:tblPrEx>
        <w:trPr>
          <w:trHeight w:val="368" w:hRule="atLeast"/>
        </w:trPr>
        <w:tc>
          <w:tcPr>
            <w:tcW w:w="972" w:type="dxa"/>
            <w:vMerge w:val="continue"/>
            <w:tcBorders>
              <w:top w:val="nil"/>
              <w:left w:val="single" w:color="auto" w:sz="4" w:space="0"/>
              <w:bottom w:val="single" w:color="auto" w:sz="4" w:space="0"/>
              <w:right w:val="single" w:color="auto" w:sz="4" w:space="0"/>
            </w:tcBorders>
            <w:vAlign w:val="center"/>
          </w:tcPr>
          <w:p w14:paraId="5CC0A6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60A34C4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市县资金</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52AD26C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14:paraId="3B6ADD46">
        <w:tblPrEx>
          <w:tblCellMar>
            <w:top w:w="0" w:type="dxa"/>
            <w:left w:w="108" w:type="dxa"/>
            <w:bottom w:w="0" w:type="dxa"/>
            <w:right w:w="108" w:type="dxa"/>
          </w:tblCellMar>
        </w:tblPrEx>
        <w:trPr>
          <w:trHeight w:val="1420" w:hRule="atLeast"/>
        </w:trPr>
        <w:tc>
          <w:tcPr>
            <w:tcW w:w="972" w:type="dxa"/>
            <w:tcBorders>
              <w:top w:val="nil"/>
              <w:left w:val="single" w:color="auto" w:sz="4" w:space="0"/>
              <w:bottom w:val="single" w:color="auto" w:sz="4" w:space="0"/>
              <w:right w:val="single" w:color="auto" w:sz="4" w:space="0"/>
            </w:tcBorders>
            <w:shd w:val="clear" w:color="auto" w:fill="auto"/>
            <w:vAlign w:val="center"/>
          </w:tcPr>
          <w:p w14:paraId="3C1D8FB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年度</w:t>
            </w:r>
          </w:p>
          <w:p w14:paraId="2560E2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总体</w:t>
            </w:r>
          </w:p>
          <w:p w14:paraId="4549535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目标</w:t>
            </w:r>
          </w:p>
        </w:tc>
        <w:tc>
          <w:tcPr>
            <w:tcW w:w="8208" w:type="dxa"/>
            <w:gridSpan w:val="7"/>
            <w:tcBorders>
              <w:top w:val="single" w:color="auto" w:sz="4" w:space="0"/>
              <w:left w:val="nil"/>
              <w:bottom w:val="single" w:color="auto" w:sz="4" w:space="0"/>
              <w:right w:val="single" w:color="auto" w:sz="4" w:space="0"/>
            </w:tcBorders>
            <w:shd w:val="clear" w:color="auto" w:fill="auto"/>
            <w:vAlign w:val="center"/>
          </w:tcPr>
          <w:p w14:paraId="65F87EB9">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00" w:lineRule="exact"/>
              <w:ind w:firstLine="420" w:firstLineChars="200"/>
              <w:textAlignment w:val="baseline"/>
              <w:rPr>
                <w:rFonts w:hint="eastAsia" w:ascii="方正仿宋_GBK" w:hAnsi="方正仿宋_GBK" w:eastAsia="方正仿宋_GBK" w:cs="方正仿宋_GBK"/>
                <w:color w:val="000000" w:themeColor="text1"/>
                <w:kern w:val="0"/>
                <w:sz w:val="21"/>
                <w:szCs w:val="21"/>
                <w:lang w:eastAsia="zh-CN"/>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生产应用不少于</w:t>
            </w:r>
            <w:r>
              <w:rPr>
                <w:rFonts w:hint="eastAsia" w:ascii="Times New Roman" w:hAnsi="Times New Roman" w:eastAsia="方正仿宋_GBK" w:cs="Times New Roman"/>
                <w:color w:val="000000" w:themeColor="text1"/>
                <w:kern w:val="0"/>
                <w:sz w:val="21"/>
                <w:szCs w:val="21"/>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台，建立熟化应用基地不少于3个，推广应用面积不少于500亩。完成定型机具的田间生产考核验证，形成详实的性能测试报告、对比分析报告和适应性评价报告。组织开展新机具新技术现场演示示范活动不少于1场次，培训农机管理、技术人员及新型经营主体负责人等不少于50人次。</w:t>
            </w:r>
          </w:p>
        </w:tc>
      </w:tr>
      <w:tr w14:paraId="343052F1">
        <w:tblPrEx>
          <w:tblCellMar>
            <w:top w:w="0" w:type="dxa"/>
            <w:left w:w="108" w:type="dxa"/>
            <w:bottom w:w="0" w:type="dxa"/>
            <w:right w:w="108" w:type="dxa"/>
          </w:tblCellMar>
        </w:tblPrEx>
        <w:trPr>
          <w:trHeight w:val="466" w:hRule="atLeast"/>
        </w:trPr>
        <w:tc>
          <w:tcPr>
            <w:tcW w:w="972" w:type="dxa"/>
            <w:vMerge w:val="restart"/>
            <w:tcBorders>
              <w:top w:val="nil"/>
              <w:left w:val="single" w:color="auto" w:sz="4" w:space="0"/>
              <w:right w:val="single" w:color="auto" w:sz="4" w:space="0"/>
            </w:tcBorders>
            <w:shd w:val="clear" w:color="auto" w:fill="auto"/>
            <w:vAlign w:val="center"/>
          </w:tcPr>
          <w:p w14:paraId="2BF1040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绩</w:t>
            </w:r>
          </w:p>
          <w:p w14:paraId="296A64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效</w:t>
            </w:r>
          </w:p>
          <w:p w14:paraId="57E8006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指</w:t>
            </w:r>
          </w:p>
          <w:p w14:paraId="2591935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6E720C8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一级指标</w:t>
            </w:r>
          </w:p>
        </w:tc>
        <w:tc>
          <w:tcPr>
            <w:tcW w:w="11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E34F0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二级指标</w:t>
            </w: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26C13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三级指标</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0D73B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指标值</w:t>
            </w:r>
          </w:p>
        </w:tc>
      </w:tr>
      <w:tr w14:paraId="6A4DEE85">
        <w:tblPrEx>
          <w:tblCellMar>
            <w:top w:w="0" w:type="dxa"/>
            <w:left w:w="108" w:type="dxa"/>
            <w:bottom w:w="0" w:type="dxa"/>
            <w:right w:w="108" w:type="dxa"/>
          </w:tblCellMar>
        </w:tblPrEx>
        <w:trPr>
          <w:trHeight w:val="425" w:hRule="atLeast"/>
        </w:trPr>
        <w:tc>
          <w:tcPr>
            <w:tcW w:w="972" w:type="dxa"/>
            <w:vMerge w:val="continue"/>
            <w:tcBorders>
              <w:left w:val="single" w:color="auto" w:sz="4" w:space="0"/>
              <w:right w:val="single" w:color="auto" w:sz="4" w:space="0"/>
            </w:tcBorders>
            <w:shd w:val="clear" w:color="auto" w:fill="auto"/>
            <w:vAlign w:val="center"/>
          </w:tcPr>
          <w:p w14:paraId="60F0C08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restart"/>
            <w:tcBorders>
              <w:top w:val="single" w:color="auto" w:sz="4" w:space="0"/>
              <w:left w:val="nil"/>
              <w:right w:val="single" w:color="auto" w:sz="4" w:space="0"/>
            </w:tcBorders>
            <w:shd w:val="clear" w:color="auto" w:fill="auto"/>
            <w:vAlign w:val="center"/>
          </w:tcPr>
          <w:p w14:paraId="6F411F3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产出指标</w:t>
            </w:r>
          </w:p>
        </w:tc>
        <w:tc>
          <w:tcPr>
            <w:tcW w:w="1146" w:type="dxa"/>
            <w:gridSpan w:val="2"/>
            <w:vMerge w:val="restart"/>
            <w:tcBorders>
              <w:top w:val="single" w:color="auto" w:sz="4" w:space="0"/>
              <w:left w:val="single" w:color="auto" w:sz="4" w:space="0"/>
              <w:right w:val="single" w:color="auto" w:sz="4" w:space="0"/>
            </w:tcBorders>
            <w:shd w:val="clear" w:color="auto" w:fill="auto"/>
            <w:vAlign w:val="center"/>
          </w:tcPr>
          <w:p w14:paraId="1A1192C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数量指标</w:t>
            </w: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B0DFE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生产应用机械台数</w:t>
            </w:r>
            <w:r>
              <w:rPr>
                <w:rStyle w:val="16"/>
                <w:rFonts w:hint="eastAsia" w:ascii="方正楷体_GBK" w:hAnsi="方正楷体_GBK" w:eastAsia="方正楷体_GBK" w:cs="方正楷体_GBK"/>
                <w:sz w:val="21"/>
                <w:szCs w:val="21"/>
                <w:lang w:val="en-US" w:eastAsia="zh-CN" w:bidi="ar"/>
              </w:rPr>
              <w:t>（台）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1D2F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方正仿宋_GBK" w:cs="方正仿宋_GBK"/>
                <w:b w:val="0"/>
                <w:bCs w:val="0"/>
                <w:kern w:val="0"/>
                <w:sz w:val="21"/>
                <w:szCs w:val="21"/>
                <w:lang w:val="en-US" w:eastAsia="zh-CN"/>
              </w:rPr>
              <w:t>3</w:t>
            </w:r>
          </w:p>
        </w:tc>
      </w:tr>
      <w:tr w14:paraId="2DF691E6">
        <w:tblPrEx>
          <w:tblCellMar>
            <w:top w:w="0" w:type="dxa"/>
            <w:left w:w="108" w:type="dxa"/>
            <w:bottom w:w="0" w:type="dxa"/>
            <w:right w:w="108" w:type="dxa"/>
          </w:tblCellMar>
        </w:tblPrEx>
        <w:trPr>
          <w:trHeight w:val="417" w:hRule="atLeast"/>
        </w:trPr>
        <w:tc>
          <w:tcPr>
            <w:tcW w:w="972" w:type="dxa"/>
            <w:vMerge w:val="continue"/>
            <w:tcBorders>
              <w:left w:val="single" w:color="auto" w:sz="4" w:space="0"/>
              <w:right w:val="single" w:color="auto" w:sz="4" w:space="0"/>
            </w:tcBorders>
            <w:shd w:val="clear" w:color="auto" w:fill="auto"/>
            <w:vAlign w:val="center"/>
          </w:tcPr>
          <w:p w14:paraId="7F5A48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41EE30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方正仿宋_GBK" w:hAnsi="方正仿宋_GBK" w:eastAsia="方正仿宋_GBK" w:cs="方正仿宋_GBK"/>
                <w:kern w:val="0"/>
                <w:sz w:val="21"/>
                <w:szCs w:val="21"/>
                <w:lang w:val="en-US" w:eastAsia="zh-CN"/>
              </w:rPr>
            </w:pPr>
          </w:p>
        </w:tc>
        <w:tc>
          <w:tcPr>
            <w:tcW w:w="1146" w:type="dxa"/>
            <w:gridSpan w:val="2"/>
            <w:vMerge w:val="continue"/>
            <w:tcBorders>
              <w:left w:val="single" w:color="auto" w:sz="4" w:space="0"/>
              <w:right w:val="single" w:color="auto" w:sz="4" w:space="0"/>
            </w:tcBorders>
            <w:shd w:val="clear" w:color="auto" w:fill="auto"/>
            <w:vAlign w:val="center"/>
          </w:tcPr>
          <w:p w14:paraId="35AA23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方正仿宋_GBK" w:hAnsi="方正仿宋_GBK" w:eastAsia="方正仿宋_GBK" w:cs="方正仿宋_GBK"/>
                <w:kern w:val="0"/>
                <w:sz w:val="21"/>
                <w:szCs w:val="21"/>
                <w:lang w:val="en-US" w:eastAsia="zh-CN"/>
              </w:rPr>
            </w:pP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0451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建立熟化应用基地</w:t>
            </w:r>
            <w:r>
              <w:rPr>
                <w:rStyle w:val="16"/>
                <w:rFonts w:hint="eastAsia" w:ascii="方正楷体_GBK" w:hAnsi="方正楷体_GBK" w:eastAsia="方正楷体_GBK" w:cs="方正楷体_GBK"/>
                <w:sz w:val="21"/>
                <w:szCs w:val="21"/>
                <w:lang w:val="en-US" w:eastAsia="zh-CN" w:bidi="ar"/>
              </w:rPr>
              <w:t>（个）</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B1E2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kern w:val="0"/>
                <w:sz w:val="21"/>
                <w:szCs w:val="21"/>
                <w:lang w:val="en-US" w:eastAsia="zh-CN"/>
              </w:rPr>
              <w:t>3</w:t>
            </w:r>
          </w:p>
        </w:tc>
      </w:tr>
      <w:tr w14:paraId="35C4720F">
        <w:tblPrEx>
          <w:tblCellMar>
            <w:top w:w="0" w:type="dxa"/>
            <w:left w:w="108" w:type="dxa"/>
            <w:bottom w:w="0" w:type="dxa"/>
            <w:right w:w="108" w:type="dxa"/>
          </w:tblCellMar>
        </w:tblPrEx>
        <w:trPr>
          <w:trHeight w:val="472" w:hRule="atLeast"/>
        </w:trPr>
        <w:tc>
          <w:tcPr>
            <w:tcW w:w="972" w:type="dxa"/>
            <w:vMerge w:val="continue"/>
            <w:tcBorders>
              <w:left w:val="single" w:color="auto" w:sz="4" w:space="0"/>
              <w:right w:val="single" w:color="auto" w:sz="4" w:space="0"/>
            </w:tcBorders>
            <w:shd w:val="clear" w:color="auto" w:fill="auto"/>
            <w:vAlign w:val="center"/>
          </w:tcPr>
          <w:p w14:paraId="229C2A6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63464BA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vMerge w:val="continue"/>
            <w:tcBorders>
              <w:left w:val="single" w:color="auto" w:sz="4" w:space="0"/>
              <w:right w:val="single" w:color="auto" w:sz="4" w:space="0"/>
            </w:tcBorders>
            <w:shd w:val="clear" w:color="auto" w:fill="auto"/>
            <w:vAlign w:val="center"/>
          </w:tcPr>
          <w:p w14:paraId="4D57B0F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5C40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培训人员</w:t>
            </w:r>
            <w:r>
              <w:rPr>
                <w:rStyle w:val="16"/>
                <w:rFonts w:hint="eastAsia" w:ascii="方正楷体_GBK" w:hAnsi="方正楷体_GBK" w:eastAsia="方正楷体_GBK" w:cs="方正楷体_GBK"/>
                <w:sz w:val="21"/>
                <w:szCs w:val="21"/>
                <w:lang w:val="en-US" w:eastAsia="zh-CN" w:bidi="ar"/>
              </w:rPr>
              <w:t>（人）</w:t>
            </w:r>
          </w:p>
        </w:tc>
        <w:tc>
          <w:tcPr>
            <w:tcW w:w="1560" w:type="dxa"/>
            <w:tcBorders>
              <w:top w:val="nil"/>
              <w:left w:val="single" w:color="auto" w:sz="4" w:space="0"/>
              <w:bottom w:val="single" w:color="auto" w:sz="4" w:space="0"/>
              <w:right w:val="single" w:color="auto" w:sz="4" w:space="0"/>
            </w:tcBorders>
            <w:shd w:val="clear" w:color="auto" w:fill="auto"/>
            <w:vAlign w:val="center"/>
          </w:tcPr>
          <w:p w14:paraId="149519F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kern w:val="0"/>
                <w:sz w:val="21"/>
                <w:szCs w:val="21"/>
                <w:lang w:val="en-US" w:eastAsia="zh-CN"/>
              </w:rPr>
              <w:t>50</w:t>
            </w:r>
          </w:p>
        </w:tc>
      </w:tr>
      <w:tr w14:paraId="5A300F1B">
        <w:tblPrEx>
          <w:tblCellMar>
            <w:top w:w="0" w:type="dxa"/>
            <w:left w:w="108" w:type="dxa"/>
            <w:bottom w:w="0" w:type="dxa"/>
            <w:right w:w="108" w:type="dxa"/>
          </w:tblCellMar>
        </w:tblPrEx>
        <w:trPr>
          <w:trHeight w:val="373" w:hRule="atLeast"/>
        </w:trPr>
        <w:tc>
          <w:tcPr>
            <w:tcW w:w="972" w:type="dxa"/>
            <w:vMerge w:val="continue"/>
            <w:tcBorders>
              <w:left w:val="single" w:color="auto" w:sz="4" w:space="0"/>
              <w:right w:val="single" w:color="auto" w:sz="4" w:space="0"/>
            </w:tcBorders>
            <w:shd w:val="clear" w:color="auto" w:fill="auto"/>
            <w:vAlign w:val="center"/>
          </w:tcPr>
          <w:p w14:paraId="0CCD24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41E140F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vMerge w:val="continue"/>
            <w:tcBorders>
              <w:left w:val="single" w:color="auto" w:sz="4" w:space="0"/>
              <w:right w:val="single" w:color="auto" w:sz="4" w:space="0"/>
            </w:tcBorders>
            <w:shd w:val="clear" w:color="auto" w:fill="auto"/>
            <w:vAlign w:val="center"/>
          </w:tcPr>
          <w:p w14:paraId="601B435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8DB9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举办现场演示与观摩</w:t>
            </w:r>
            <w:r>
              <w:rPr>
                <w:rStyle w:val="16"/>
                <w:rFonts w:hint="eastAsia" w:ascii="方正楷体_GBK" w:hAnsi="方正楷体_GBK" w:eastAsia="方正楷体_GBK" w:cs="方正楷体_GBK"/>
                <w:sz w:val="21"/>
                <w:szCs w:val="21"/>
                <w:lang w:val="en-US" w:eastAsia="zh-CN" w:bidi="ar"/>
              </w:rPr>
              <w:t>（次）</w:t>
            </w:r>
          </w:p>
        </w:tc>
        <w:tc>
          <w:tcPr>
            <w:tcW w:w="1560" w:type="dxa"/>
            <w:tcBorders>
              <w:top w:val="nil"/>
              <w:left w:val="single" w:color="auto" w:sz="4" w:space="0"/>
              <w:bottom w:val="single" w:color="auto" w:sz="4" w:space="0"/>
              <w:right w:val="single" w:color="auto" w:sz="4" w:space="0"/>
            </w:tcBorders>
            <w:shd w:val="clear" w:color="auto" w:fill="auto"/>
            <w:vAlign w:val="center"/>
          </w:tcPr>
          <w:p w14:paraId="1367E37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color w:val="000000" w:themeColor="text1"/>
                <w:kern w:val="0"/>
                <w:sz w:val="21"/>
                <w:szCs w:val="21"/>
                <w:lang w:val="en-US" w:eastAsia="zh-CN"/>
                <w14:textFill>
                  <w14:solidFill>
                    <w14:schemeClr w14:val="tx1"/>
                  </w14:solidFill>
                </w14:textFill>
              </w:rPr>
              <w:t>1</w:t>
            </w:r>
          </w:p>
        </w:tc>
      </w:tr>
      <w:tr w14:paraId="55141309">
        <w:tblPrEx>
          <w:tblCellMar>
            <w:top w:w="0" w:type="dxa"/>
            <w:left w:w="108" w:type="dxa"/>
            <w:bottom w:w="0" w:type="dxa"/>
            <w:right w:w="108" w:type="dxa"/>
          </w:tblCellMar>
        </w:tblPrEx>
        <w:trPr>
          <w:trHeight w:val="484" w:hRule="atLeast"/>
        </w:trPr>
        <w:tc>
          <w:tcPr>
            <w:tcW w:w="972" w:type="dxa"/>
            <w:vMerge w:val="continue"/>
            <w:tcBorders>
              <w:left w:val="single" w:color="auto" w:sz="4" w:space="0"/>
              <w:right w:val="single" w:color="auto" w:sz="4" w:space="0"/>
            </w:tcBorders>
            <w:shd w:val="clear" w:color="auto" w:fill="auto"/>
            <w:vAlign w:val="center"/>
          </w:tcPr>
          <w:p w14:paraId="26EECF0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4A13C6C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vMerge w:val="continue"/>
            <w:tcBorders>
              <w:left w:val="single" w:color="auto" w:sz="4" w:space="0"/>
              <w:right w:val="single" w:color="auto" w:sz="4" w:space="0"/>
            </w:tcBorders>
            <w:shd w:val="clear" w:color="auto" w:fill="auto"/>
            <w:vAlign w:val="center"/>
          </w:tcPr>
          <w:p w14:paraId="28411A8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4362" w:type="dxa"/>
            <w:gridSpan w:val="3"/>
            <w:tcBorders>
              <w:top w:val="single" w:color="auto" w:sz="4" w:space="0"/>
              <w:left w:val="single" w:color="auto" w:sz="4" w:space="0"/>
              <w:right w:val="single" w:color="auto" w:sz="4" w:space="0"/>
            </w:tcBorders>
            <w:shd w:val="clear" w:color="auto" w:fill="auto"/>
            <w:vAlign w:val="center"/>
          </w:tcPr>
          <w:p w14:paraId="75BA02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themeColor="text1"/>
                <w:kern w:val="0"/>
                <w:sz w:val="21"/>
                <w:szCs w:val="21"/>
                <w:lang w:val="en-US" w:eastAsia="zh-CN"/>
                <w14:textFill>
                  <w14:solidFill>
                    <w14:schemeClr w14:val="tx1"/>
                  </w14:solidFill>
                </w14:textFill>
              </w:rPr>
              <w:t>推广应用面积</w:t>
            </w:r>
            <w:r>
              <w:rPr>
                <w:rStyle w:val="16"/>
                <w:rFonts w:hint="eastAsia" w:ascii="方正楷体_GBK" w:hAnsi="方正楷体_GBK" w:eastAsia="方正楷体_GBK" w:cs="方正楷体_GBK"/>
                <w:sz w:val="21"/>
                <w:szCs w:val="21"/>
                <w:lang w:val="en-US" w:eastAsia="zh-CN" w:bidi="ar"/>
              </w:rPr>
              <w:t>（亩）</w:t>
            </w:r>
          </w:p>
        </w:tc>
        <w:tc>
          <w:tcPr>
            <w:tcW w:w="1560" w:type="dxa"/>
            <w:tcBorders>
              <w:top w:val="nil"/>
              <w:left w:val="single" w:color="auto" w:sz="4" w:space="0"/>
              <w:bottom w:val="single" w:color="auto" w:sz="4" w:space="0"/>
              <w:right w:val="single" w:color="auto" w:sz="4" w:space="0"/>
            </w:tcBorders>
            <w:shd w:val="clear" w:color="auto" w:fill="auto"/>
            <w:vAlign w:val="center"/>
          </w:tcPr>
          <w:p w14:paraId="6E2338D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color w:val="000000" w:themeColor="text1"/>
                <w:kern w:val="0"/>
                <w:sz w:val="21"/>
                <w:szCs w:val="21"/>
                <w:lang w:val="en-US" w:eastAsia="zh-CN"/>
                <w14:textFill>
                  <w14:solidFill>
                    <w14:schemeClr w14:val="tx1"/>
                  </w14:solidFill>
                </w14:textFill>
              </w:rPr>
              <w:t>500</w:t>
            </w:r>
          </w:p>
        </w:tc>
      </w:tr>
      <w:tr w14:paraId="1E942835">
        <w:tblPrEx>
          <w:tblCellMar>
            <w:top w:w="0" w:type="dxa"/>
            <w:left w:w="108" w:type="dxa"/>
            <w:bottom w:w="0" w:type="dxa"/>
            <w:right w:w="108" w:type="dxa"/>
          </w:tblCellMar>
        </w:tblPrEx>
        <w:trPr>
          <w:trHeight w:val="418" w:hRule="atLeast"/>
        </w:trPr>
        <w:tc>
          <w:tcPr>
            <w:tcW w:w="972" w:type="dxa"/>
            <w:vMerge w:val="continue"/>
            <w:tcBorders>
              <w:left w:val="single" w:color="auto" w:sz="4" w:space="0"/>
              <w:right w:val="single" w:color="auto" w:sz="4" w:space="0"/>
            </w:tcBorders>
            <w:vAlign w:val="center"/>
          </w:tcPr>
          <w:p w14:paraId="4AC5432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vAlign w:val="center"/>
          </w:tcPr>
          <w:p w14:paraId="0643042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14:paraId="3AA73A8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质量指标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3198CB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i w:val="0"/>
                <w:color w:val="000000"/>
                <w:kern w:val="0"/>
                <w:sz w:val="21"/>
                <w:szCs w:val="21"/>
                <w:u w:val="none"/>
                <w:lang w:val="en-US" w:eastAsia="zh-CN" w:bidi="ar"/>
              </w:rPr>
              <w:t>项目任务完成率</w:t>
            </w:r>
            <w:r>
              <w:rPr>
                <w:rStyle w:val="16"/>
                <w:rFonts w:hint="eastAsia" w:ascii="方正楷体_GBK" w:hAnsi="方正楷体_GBK" w:eastAsia="方正楷体_GBK" w:cs="方正楷体_GBK"/>
                <w:sz w:val="21"/>
                <w:szCs w:val="21"/>
                <w:lang w:val="en-US" w:eastAsia="zh-CN" w:bidi="ar"/>
              </w:rPr>
              <w:t>（%）</w:t>
            </w:r>
          </w:p>
        </w:tc>
        <w:tc>
          <w:tcPr>
            <w:tcW w:w="1560" w:type="dxa"/>
            <w:tcBorders>
              <w:top w:val="nil"/>
              <w:left w:val="nil"/>
              <w:bottom w:val="single" w:color="auto" w:sz="4" w:space="0"/>
              <w:right w:val="single" w:color="auto" w:sz="4" w:space="0"/>
            </w:tcBorders>
            <w:shd w:val="clear" w:color="auto" w:fill="auto"/>
            <w:vAlign w:val="center"/>
          </w:tcPr>
          <w:p w14:paraId="1A59E48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themeColor="text1"/>
                <w:kern w:val="0"/>
                <w:sz w:val="21"/>
                <w:szCs w:val="21"/>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1"/>
                <w:szCs w:val="21"/>
                <w:lang w:val="en-US" w:eastAsia="zh-CN"/>
                <w14:textFill>
                  <w14:solidFill>
                    <w14:schemeClr w14:val="tx1"/>
                  </w14:solidFill>
                </w14:textFill>
              </w:rPr>
              <w:t>100</w:t>
            </w:r>
          </w:p>
        </w:tc>
      </w:tr>
      <w:tr w14:paraId="0C19C029">
        <w:tblPrEx>
          <w:tblCellMar>
            <w:top w:w="0" w:type="dxa"/>
            <w:left w:w="108" w:type="dxa"/>
            <w:bottom w:w="0" w:type="dxa"/>
            <w:right w:w="108" w:type="dxa"/>
          </w:tblCellMar>
        </w:tblPrEx>
        <w:trPr>
          <w:trHeight w:val="448" w:hRule="atLeast"/>
        </w:trPr>
        <w:tc>
          <w:tcPr>
            <w:tcW w:w="972" w:type="dxa"/>
            <w:vMerge w:val="continue"/>
            <w:tcBorders>
              <w:left w:val="single" w:color="auto" w:sz="4" w:space="0"/>
              <w:right w:val="single" w:color="auto" w:sz="4" w:space="0"/>
            </w:tcBorders>
            <w:vAlign w:val="center"/>
          </w:tcPr>
          <w:p w14:paraId="050E21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bottom w:val="single" w:color="auto" w:sz="4" w:space="0"/>
              <w:right w:val="single" w:color="auto" w:sz="4" w:space="0"/>
            </w:tcBorders>
            <w:vAlign w:val="center"/>
          </w:tcPr>
          <w:p w14:paraId="6137AC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nil"/>
              <w:left w:val="nil"/>
              <w:bottom w:val="single" w:color="auto" w:sz="4" w:space="0"/>
              <w:right w:val="single" w:color="auto" w:sz="4" w:space="0"/>
            </w:tcBorders>
            <w:shd w:val="clear" w:color="auto" w:fill="auto"/>
            <w:vAlign w:val="center"/>
          </w:tcPr>
          <w:p w14:paraId="429B094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时效指标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4D24E8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i w:val="0"/>
                <w:color w:val="000000"/>
                <w:sz w:val="21"/>
                <w:szCs w:val="21"/>
                <w:u w:val="none"/>
                <w:lang w:eastAsia="zh-CN"/>
              </w:rPr>
              <w:t>项目竣工完成时间</w:t>
            </w:r>
          </w:p>
        </w:tc>
        <w:tc>
          <w:tcPr>
            <w:tcW w:w="1560" w:type="dxa"/>
            <w:tcBorders>
              <w:top w:val="nil"/>
              <w:left w:val="nil"/>
              <w:bottom w:val="single" w:color="auto" w:sz="4" w:space="0"/>
              <w:right w:val="single" w:color="auto" w:sz="4" w:space="0"/>
            </w:tcBorders>
            <w:shd w:val="clear" w:color="auto" w:fill="auto"/>
            <w:vAlign w:val="center"/>
          </w:tcPr>
          <w:p w14:paraId="3EC2CC9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12月30日前</w:t>
            </w:r>
          </w:p>
        </w:tc>
      </w:tr>
      <w:tr w14:paraId="4D6F4F14">
        <w:tblPrEx>
          <w:tblCellMar>
            <w:top w:w="0" w:type="dxa"/>
            <w:left w:w="108" w:type="dxa"/>
            <w:bottom w:w="0" w:type="dxa"/>
            <w:right w:w="108" w:type="dxa"/>
          </w:tblCellMar>
        </w:tblPrEx>
        <w:trPr>
          <w:trHeight w:val="573" w:hRule="atLeast"/>
        </w:trPr>
        <w:tc>
          <w:tcPr>
            <w:tcW w:w="972" w:type="dxa"/>
            <w:vMerge w:val="continue"/>
            <w:tcBorders>
              <w:left w:val="single" w:color="auto" w:sz="4" w:space="0"/>
              <w:right w:val="single" w:color="auto" w:sz="4" w:space="0"/>
            </w:tcBorders>
            <w:vAlign w:val="center"/>
          </w:tcPr>
          <w:p w14:paraId="5EC70A0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restart"/>
            <w:tcBorders>
              <w:top w:val="single" w:color="auto" w:sz="4" w:space="0"/>
              <w:left w:val="single" w:color="auto" w:sz="4" w:space="0"/>
              <w:right w:val="single" w:color="auto" w:sz="4" w:space="0"/>
            </w:tcBorders>
            <w:shd w:val="clear" w:color="auto" w:fill="auto"/>
            <w:vAlign w:val="center"/>
          </w:tcPr>
          <w:p w14:paraId="6142F4E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效益指标</w:t>
            </w:r>
          </w:p>
        </w:tc>
        <w:tc>
          <w:tcPr>
            <w:tcW w:w="1146" w:type="dxa"/>
            <w:gridSpan w:val="2"/>
            <w:tcBorders>
              <w:top w:val="single" w:color="auto" w:sz="4" w:space="0"/>
              <w:left w:val="nil"/>
              <w:right w:val="single" w:color="auto" w:sz="4" w:space="0"/>
            </w:tcBorders>
            <w:shd w:val="clear" w:color="auto" w:fill="auto"/>
            <w:vAlign w:val="center"/>
          </w:tcPr>
          <w:p w14:paraId="30C4A2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经济效益指标</w:t>
            </w:r>
          </w:p>
        </w:tc>
        <w:tc>
          <w:tcPr>
            <w:tcW w:w="4362" w:type="dxa"/>
            <w:gridSpan w:val="3"/>
            <w:tcBorders>
              <w:top w:val="single" w:color="auto" w:sz="4" w:space="0"/>
              <w:left w:val="nil"/>
              <w:right w:val="single" w:color="auto" w:sz="4" w:space="0"/>
            </w:tcBorders>
            <w:shd w:val="clear" w:color="auto" w:fill="auto"/>
            <w:vAlign w:val="center"/>
          </w:tcPr>
          <w:p w14:paraId="57EFA7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形成小批量熟化应用</w:t>
            </w:r>
          </w:p>
        </w:tc>
        <w:tc>
          <w:tcPr>
            <w:tcW w:w="1560" w:type="dxa"/>
            <w:tcBorders>
              <w:top w:val="nil"/>
              <w:left w:val="nil"/>
              <w:bottom w:val="single" w:color="auto" w:sz="4" w:space="0"/>
              <w:right w:val="single" w:color="auto" w:sz="4" w:space="0"/>
            </w:tcBorders>
            <w:shd w:val="clear" w:color="auto" w:fill="auto"/>
            <w:vAlign w:val="center"/>
          </w:tcPr>
          <w:p w14:paraId="13DFB3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3台及以上</w:t>
            </w:r>
          </w:p>
        </w:tc>
      </w:tr>
      <w:tr w14:paraId="2DEB088D">
        <w:tblPrEx>
          <w:tblCellMar>
            <w:top w:w="0" w:type="dxa"/>
            <w:left w:w="108" w:type="dxa"/>
            <w:bottom w:w="0" w:type="dxa"/>
            <w:right w:w="108" w:type="dxa"/>
          </w:tblCellMar>
        </w:tblPrEx>
        <w:trPr>
          <w:trHeight w:val="573" w:hRule="atLeast"/>
        </w:trPr>
        <w:tc>
          <w:tcPr>
            <w:tcW w:w="972" w:type="dxa"/>
            <w:vMerge w:val="continue"/>
            <w:tcBorders>
              <w:left w:val="single" w:color="auto" w:sz="4" w:space="0"/>
              <w:right w:val="single" w:color="auto" w:sz="4" w:space="0"/>
            </w:tcBorders>
            <w:vAlign w:val="center"/>
          </w:tcPr>
          <w:p w14:paraId="1B5E338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single" w:color="auto" w:sz="4" w:space="0"/>
              <w:right w:val="single" w:color="auto" w:sz="4" w:space="0"/>
            </w:tcBorders>
            <w:shd w:val="clear" w:color="auto" w:fill="auto"/>
            <w:vAlign w:val="center"/>
          </w:tcPr>
          <w:p w14:paraId="718490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nil"/>
              <w:right w:val="single" w:color="auto" w:sz="4" w:space="0"/>
            </w:tcBorders>
            <w:shd w:val="clear" w:color="auto" w:fill="auto"/>
            <w:vAlign w:val="center"/>
          </w:tcPr>
          <w:p w14:paraId="7411E65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社会效益</w:t>
            </w:r>
          </w:p>
          <w:p w14:paraId="4F255CD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w:t>
            </w:r>
          </w:p>
        </w:tc>
        <w:tc>
          <w:tcPr>
            <w:tcW w:w="4362" w:type="dxa"/>
            <w:gridSpan w:val="3"/>
            <w:tcBorders>
              <w:top w:val="single" w:color="auto" w:sz="4" w:space="0"/>
              <w:left w:val="nil"/>
              <w:right w:val="single" w:color="auto" w:sz="4" w:space="0"/>
            </w:tcBorders>
            <w:shd w:val="clear" w:color="auto" w:fill="auto"/>
            <w:vAlign w:val="center"/>
          </w:tcPr>
          <w:p w14:paraId="03A4F3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val="en-US" w:eastAsia="zh-CN"/>
              </w:rPr>
              <w:t>为智慧农业发展提供先进的装备支撑</w:t>
            </w:r>
          </w:p>
        </w:tc>
        <w:tc>
          <w:tcPr>
            <w:tcW w:w="1560" w:type="dxa"/>
            <w:tcBorders>
              <w:top w:val="nil"/>
              <w:left w:val="nil"/>
              <w:bottom w:val="single" w:color="auto" w:sz="4" w:space="0"/>
              <w:right w:val="single" w:color="auto" w:sz="4" w:space="0"/>
            </w:tcBorders>
            <w:shd w:val="clear" w:color="auto" w:fill="auto"/>
            <w:vAlign w:val="center"/>
          </w:tcPr>
          <w:p w14:paraId="6695A9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000000"/>
                <w:kern w:val="2"/>
                <w:sz w:val="21"/>
                <w:szCs w:val="21"/>
                <w:u w:val="none"/>
                <w:lang w:val="en-US" w:eastAsia="zh-CN" w:bidi="ar-SA"/>
              </w:rPr>
            </w:pPr>
            <w:r>
              <w:rPr>
                <w:rFonts w:hint="default" w:ascii="Times New Roman" w:hAnsi="Times New Roman" w:eastAsia="方正仿宋_GBK" w:cs="Times New Roman"/>
                <w:i w:val="0"/>
                <w:color w:val="000000"/>
                <w:sz w:val="21"/>
                <w:szCs w:val="21"/>
                <w:u w:val="none"/>
                <w:lang w:val="en-US" w:eastAsia="zh-CN"/>
              </w:rPr>
              <w:t>示范效应显著</w:t>
            </w:r>
          </w:p>
        </w:tc>
      </w:tr>
      <w:tr w14:paraId="1A4C038D">
        <w:tblPrEx>
          <w:tblCellMar>
            <w:top w:w="0" w:type="dxa"/>
            <w:left w:w="108" w:type="dxa"/>
            <w:bottom w:w="0" w:type="dxa"/>
            <w:right w:w="108" w:type="dxa"/>
          </w:tblCellMar>
        </w:tblPrEx>
        <w:trPr>
          <w:trHeight w:val="581" w:hRule="atLeast"/>
        </w:trPr>
        <w:tc>
          <w:tcPr>
            <w:tcW w:w="972" w:type="dxa"/>
            <w:vMerge w:val="continue"/>
            <w:tcBorders>
              <w:left w:val="single" w:color="auto" w:sz="4" w:space="0"/>
              <w:right w:val="single" w:color="auto" w:sz="4" w:space="0"/>
            </w:tcBorders>
            <w:vAlign w:val="center"/>
          </w:tcPr>
          <w:p w14:paraId="219D2F3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single" w:color="auto" w:sz="4" w:space="0"/>
              <w:right w:val="single" w:color="auto" w:sz="4" w:space="0"/>
            </w:tcBorders>
            <w:vAlign w:val="center"/>
          </w:tcPr>
          <w:p w14:paraId="5347B69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3296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生态效益</w:t>
            </w:r>
          </w:p>
          <w:p w14:paraId="6C93EFA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1C45B9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促进资源节约和环境友好</w:t>
            </w:r>
          </w:p>
        </w:tc>
        <w:tc>
          <w:tcPr>
            <w:tcW w:w="1560" w:type="dxa"/>
            <w:tcBorders>
              <w:top w:val="nil"/>
              <w:left w:val="nil"/>
              <w:bottom w:val="single" w:color="auto" w:sz="4" w:space="0"/>
              <w:right w:val="single" w:color="auto" w:sz="4" w:space="0"/>
            </w:tcBorders>
            <w:shd w:val="clear" w:color="auto" w:fill="auto"/>
            <w:vAlign w:val="center"/>
          </w:tcPr>
          <w:p w14:paraId="544956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210" w:firstLineChars="100"/>
              <w:jc w:val="left"/>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有效促进</w:t>
            </w:r>
          </w:p>
        </w:tc>
      </w:tr>
      <w:tr w14:paraId="294E8EBF">
        <w:tblPrEx>
          <w:tblCellMar>
            <w:top w:w="0" w:type="dxa"/>
            <w:left w:w="108" w:type="dxa"/>
            <w:bottom w:w="0" w:type="dxa"/>
            <w:right w:w="108" w:type="dxa"/>
          </w:tblCellMar>
        </w:tblPrEx>
        <w:trPr>
          <w:trHeight w:val="90" w:hRule="atLeast"/>
        </w:trPr>
        <w:tc>
          <w:tcPr>
            <w:tcW w:w="972" w:type="dxa"/>
            <w:vMerge w:val="continue"/>
            <w:tcBorders>
              <w:left w:val="single" w:color="auto" w:sz="4" w:space="0"/>
              <w:right w:val="single" w:color="auto" w:sz="4" w:space="0"/>
            </w:tcBorders>
            <w:vAlign w:val="center"/>
          </w:tcPr>
          <w:p w14:paraId="6103E18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single" w:color="auto" w:sz="4" w:space="0"/>
              <w:bottom w:val="single" w:color="auto" w:sz="4" w:space="0"/>
              <w:right w:val="single" w:color="auto" w:sz="4" w:space="0"/>
            </w:tcBorders>
            <w:shd w:val="clear" w:color="auto" w:fill="auto"/>
            <w:vAlign w:val="center"/>
          </w:tcPr>
          <w:p w14:paraId="3DA075C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14:paraId="220F9E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可持续影响指标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1633C6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提升农业机械智能化水平</w:t>
            </w:r>
          </w:p>
        </w:tc>
        <w:tc>
          <w:tcPr>
            <w:tcW w:w="1560" w:type="dxa"/>
            <w:tcBorders>
              <w:top w:val="nil"/>
              <w:left w:val="nil"/>
              <w:bottom w:val="single" w:color="auto" w:sz="4" w:space="0"/>
              <w:right w:val="single" w:color="auto" w:sz="4" w:space="0"/>
            </w:tcBorders>
            <w:shd w:val="clear" w:color="auto" w:fill="auto"/>
            <w:vAlign w:val="center"/>
          </w:tcPr>
          <w:p w14:paraId="414CB7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稳步提升</w:t>
            </w:r>
          </w:p>
        </w:tc>
      </w:tr>
      <w:tr w14:paraId="20C69E6F">
        <w:tblPrEx>
          <w:tblCellMar>
            <w:top w:w="0" w:type="dxa"/>
            <w:left w:w="108" w:type="dxa"/>
            <w:bottom w:w="0" w:type="dxa"/>
            <w:right w:w="108" w:type="dxa"/>
          </w:tblCellMar>
        </w:tblPrEx>
        <w:trPr>
          <w:trHeight w:val="568" w:hRule="atLeast"/>
        </w:trPr>
        <w:tc>
          <w:tcPr>
            <w:tcW w:w="972" w:type="dxa"/>
            <w:vMerge w:val="continue"/>
            <w:tcBorders>
              <w:left w:val="single" w:color="auto" w:sz="4" w:space="0"/>
              <w:bottom w:val="single" w:color="auto" w:sz="4" w:space="0"/>
              <w:right w:val="single" w:color="auto" w:sz="4" w:space="0"/>
            </w:tcBorders>
            <w:vAlign w:val="center"/>
          </w:tcPr>
          <w:p w14:paraId="1F2E24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vAlign w:val="center"/>
          </w:tcPr>
          <w:p w14:paraId="5C5E4E8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满意度</w:t>
            </w:r>
          </w:p>
          <w:p w14:paraId="3910367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w:t>
            </w: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14:paraId="593297E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满意度</w:t>
            </w:r>
          </w:p>
          <w:p w14:paraId="285830C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5E4533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社会公众或服务对象</w:t>
            </w:r>
          </w:p>
        </w:tc>
        <w:tc>
          <w:tcPr>
            <w:tcW w:w="1560" w:type="dxa"/>
            <w:tcBorders>
              <w:top w:val="single" w:color="auto" w:sz="4" w:space="0"/>
              <w:left w:val="nil"/>
              <w:bottom w:val="single" w:color="auto" w:sz="4" w:space="0"/>
              <w:right w:val="single" w:color="auto" w:sz="4" w:space="0"/>
            </w:tcBorders>
            <w:shd w:val="clear" w:color="auto" w:fill="auto"/>
            <w:vAlign w:val="center"/>
          </w:tcPr>
          <w:p w14:paraId="29E5BA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210" w:firstLineChars="100"/>
              <w:jc w:val="left"/>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90%以上</w:t>
            </w:r>
          </w:p>
        </w:tc>
      </w:tr>
    </w:tbl>
    <w:p w14:paraId="4790BC5B">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bookmarkStart w:id="0" w:name="_GoBack"/>
      <w:bookmarkEnd w:id="0"/>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63AA">
    <w:pPr>
      <w:pStyle w:val="5"/>
      <w:ind w:right="338" w:rightChars="161"/>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18FF2">
                          <w:pPr>
                            <w:pStyle w:val="5"/>
                            <w:keepNext w:val="0"/>
                            <w:keepLines w:val="0"/>
                            <w:pageBreakBefore w:val="0"/>
                            <w:widowControl w:val="0"/>
                            <w:kinsoku/>
                            <w:wordWrap/>
                            <w:overflowPunct/>
                            <w:topLinePunct w:val="0"/>
                            <w:bidi w:val="0"/>
                            <w:adjustRightInd/>
                            <w:snapToGrid w:val="0"/>
                            <w:ind w:right="0" w:rightChars="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9B18FF2">
                    <w:pPr>
                      <w:pStyle w:val="5"/>
                      <w:keepNext w:val="0"/>
                      <w:keepLines w:val="0"/>
                      <w:pageBreakBefore w:val="0"/>
                      <w:widowControl w:val="0"/>
                      <w:kinsoku/>
                      <w:wordWrap/>
                      <w:overflowPunct/>
                      <w:topLinePunct w:val="0"/>
                      <w:bidi w:val="0"/>
                      <w:adjustRightInd/>
                      <w:snapToGrid w:val="0"/>
                      <w:ind w:right="0" w:rightChars="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DA30C1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TJjZGQ3ZjQyYzUyNDMyNDNkYjI3MWRhNmM0MTAifQ=="/>
  </w:docVars>
  <w:rsids>
    <w:rsidRoot w:val="00172A27"/>
    <w:rsid w:val="001116F7"/>
    <w:rsid w:val="00172A27"/>
    <w:rsid w:val="00434B68"/>
    <w:rsid w:val="004F784F"/>
    <w:rsid w:val="005C7432"/>
    <w:rsid w:val="00726E1E"/>
    <w:rsid w:val="007E1B20"/>
    <w:rsid w:val="00A31174"/>
    <w:rsid w:val="00B04D8C"/>
    <w:rsid w:val="00B4495D"/>
    <w:rsid w:val="00F314BB"/>
    <w:rsid w:val="0323161F"/>
    <w:rsid w:val="035E741B"/>
    <w:rsid w:val="03A55ABA"/>
    <w:rsid w:val="03F16E79"/>
    <w:rsid w:val="041F51A5"/>
    <w:rsid w:val="044F3484"/>
    <w:rsid w:val="04671996"/>
    <w:rsid w:val="04912A9D"/>
    <w:rsid w:val="04E568B4"/>
    <w:rsid w:val="04F55FB6"/>
    <w:rsid w:val="05196B6C"/>
    <w:rsid w:val="053F720B"/>
    <w:rsid w:val="056E5390"/>
    <w:rsid w:val="05903890"/>
    <w:rsid w:val="064171A4"/>
    <w:rsid w:val="064447B1"/>
    <w:rsid w:val="076117FA"/>
    <w:rsid w:val="07957F5C"/>
    <w:rsid w:val="07F84A83"/>
    <w:rsid w:val="088B022B"/>
    <w:rsid w:val="0A1A3F69"/>
    <w:rsid w:val="0A936B91"/>
    <w:rsid w:val="0B2F7059"/>
    <w:rsid w:val="0B6E5FE8"/>
    <w:rsid w:val="0B9D5137"/>
    <w:rsid w:val="0C0C7463"/>
    <w:rsid w:val="0C280841"/>
    <w:rsid w:val="0C2A1770"/>
    <w:rsid w:val="0C6E45E1"/>
    <w:rsid w:val="0CF7651E"/>
    <w:rsid w:val="0D2152AA"/>
    <w:rsid w:val="0D394CF1"/>
    <w:rsid w:val="0DA00B90"/>
    <w:rsid w:val="0DD8717F"/>
    <w:rsid w:val="0DF97156"/>
    <w:rsid w:val="0E0E4EAC"/>
    <w:rsid w:val="0E5734B5"/>
    <w:rsid w:val="0E6B02F6"/>
    <w:rsid w:val="0E6B2EED"/>
    <w:rsid w:val="0E7C0BBA"/>
    <w:rsid w:val="0EA85FFB"/>
    <w:rsid w:val="0EB34AF0"/>
    <w:rsid w:val="0EB77CA0"/>
    <w:rsid w:val="0FCE7BE1"/>
    <w:rsid w:val="0FD21304"/>
    <w:rsid w:val="0FF20E04"/>
    <w:rsid w:val="0FFF988C"/>
    <w:rsid w:val="10341468"/>
    <w:rsid w:val="10693596"/>
    <w:rsid w:val="10A56A7A"/>
    <w:rsid w:val="10ECF654"/>
    <w:rsid w:val="10F06E09"/>
    <w:rsid w:val="10F70E28"/>
    <w:rsid w:val="110079AB"/>
    <w:rsid w:val="1178671E"/>
    <w:rsid w:val="11CB6D89"/>
    <w:rsid w:val="12002EED"/>
    <w:rsid w:val="12380A2C"/>
    <w:rsid w:val="1270410A"/>
    <w:rsid w:val="13343D78"/>
    <w:rsid w:val="133E0B6F"/>
    <w:rsid w:val="13763247"/>
    <w:rsid w:val="13911A58"/>
    <w:rsid w:val="13CA0FE7"/>
    <w:rsid w:val="13D55038"/>
    <w:rsid w:val="14367EB7"/>
    <w:rsid w:val="145A1BA9"/>
    <w:rsid w:val="1475742E"/>
    <w:rsid w:val="147E2FDE"/>
    <w:rsid w:val="14D61BB5"/>
    <w:rsid w:val="15DE4D55"/>
    <w:rsid w:val="15E861FF"/>
    <w:rsid w:val="162E3AC0"/>
    <w:rsid w:val="16673A2E"/>
    <w:rsid w:val="166E212C"/>
    <w:rsid w:val="167B2D43"/>
    <w:rsid w:val="16C25F4A"/>
    <w:rsid w:val="1735B5F7"/>
    <w:rsid w:val="1743746B"/>
    <w:rsid w:val="17D779D5"/>
    <w:rsid w:val="17FE3607"/>
    <w:rsid w:val="17FF69BC"/>
    <w:rsid w:val="186C3743"/>
    <w:rsid w:val="18B90206"/>
    <w:rsid w:val="18D12C7A"/>
    <w:rsid w:val="19AF0360"/>
    <w:rsid w:val="19B14586"/>
    <w:rsid w:val="1ACA5FCE"/>
    <w:rsid w:val="1AF32A71"/>
    <w:rsid w:val="1B1461A5"/>
    <w:rsid w:val="1B224F56"/>
    <w:rsid w:val="1B225C4C"/>
    <w:rsid w:val="1B300483"/>
    <w:rsid w:val="1B392194"/>
    <w:rsid w:val="1C537E21"/>
    <w:rsid w:val="1C584AAF"/>
    <w:rsid w:val="1C634A11"/>
    <w:rsid w:val="1D86556F"/>
    <w:rsid w:val="1DB2428E"/>
    <w:rsid w:val="1E504CDE"/>
    <w:rsid w:val="1E534C56"/>
    <w:rsid w:val="1E672CEC"/>
    <w:rsid w:val="1E7A3D3C"/>
    <w:rsid w:val="1E7F05D3"/>
    <w:rsid w:val="1E843D23"/>
    <w:rsid w:val="1EB1C16D"/>
    <w:rsid w:val="1EDB2491"/>
    <w:rsid w:val="1EFF0E6F"/>
    <w:rsid w:val="1F0466A3"/>
    <w:rsid w:val="1F722CD5"/>
    <w:rsid w:val="1F73EB49"/>
    <w:rsid w:val="1F7DDC14"/>
    <w:rsid w:val="1F903A5A"/>
    <w:rsid w:val="1FC54114"/>
    <w:rsid w:val="1FCFD0D7"/>
    <w:rsid w:val="1FEA15B7"/>
    <w:rsid w:val="1FF9A95F"/>
    <w:rsid w:val="1FFE2585"/>
    <w:rsid w:val="20354F75"/>
    <w:rsid w:val="206D386F"/>
    <w:rsid w:val="207446C2"/>
    <w:rsid w:val="20B83463"/>
    <w:rsid w:val="21314B3E"/>
    <w:rsid w:val="21544F1B"/>
    <w:rsid w:val="21755AC8"/>
    <w:rsid w:val="21B105D1"/>
    <w:rsid w:val="21E278D9"/>
    <w:rsid w:val="222C0B9A"/>
    <w:rsid w:val="225DF300"/>
    <w:rsid w:val="2328534E"/>
    <w:rsid w:val="233F1C2C"/>
    <w:rsid w:val="234422BB"/>
    <w:rsid w:val="23453F24"/>
    <w:rsid w:val="239F2EBB"/>
    <w:rsid w:val="24396118"/>
    <w:rsid w:val="244D556F"/>
    <w:rsid w:val="245D412C"/>
    <w:rsid w:val="247D11E4"/>
    <w:rsid w:val="250F0949"/>
    <w:rsid w:val="251D2498"/>
    <w:rsid w:val="252B6C4E"/>
    <w:rsid w:val="25406046"/>
    <w:rsid w:val="25AE6E79"/>
    <w:rsid w:val="25D16A73"/>
    <w:rsid w:val="25D448F8"/>
    <w:rsid w:val="263E0030"/>
    <w:rsid w:val="265A14D4"/>
    <w:rsid w:val="269C730E"/>
    <w:rsid w:val="26CB3215"/>
    <w:rsid w:val="27644CA9"/>
    <w:rsid w:val="27906828"/>
    <w:rsid w:val="27AF1D27"/>
    <w:rsid w:val="27BB3BEB"/>
    <w:rsid w:val="27CE2EA6"/>
    <w:rsid w:val="27D87E70"/>
    <w:rsid w:val="27E75801"/>
    <w:rsid w:val="27F78968"/>
    <w:rsid w:val="282E0A6C"/>
    <w:rsid w:val="28976C1C"/>
    <w:rsid w:val="28EC4F26"/>
    <w:rsid w:val="29A932C1"/>
    <w:rsid w:val="29D72386"/>
    <w:rsid w:val="2A017AEB"/>
    <w:rsid w:val="2A663815"/>
    <w:rsid w:val="2AFC1E8C"/>
    <w:rsid w:val="2B0B0E88"/>
    <w:rsid w:val="2B6E0535"/>
    <w:rsid w:val="2B8173FE"/>
    <w:rsid w:val="2BBA2CC8"/>
    <w:rsid w:val="2BD990D3"/>
    <w:rsid w:val="2C6D22F7"/>
    <w:rsid w:val="2D3133DB"/>
    <w:rsid w:val="2D5A73A5"/>
    <w:rsid w:val="2D5F6268"/>
    <w:rsid w:val="2D6417AA"/>
    <w:rsid w:val="2D79223E"/>
    <w:rsid w:val="2D7E2241"/>
    <w:rsid w:val="2DB768E1"/>
    <w:rsid w:val="2DBEA7E0"/>
    <w:rsid w:val="2DCDA2D3"/>
    <w:rsid w:val="2DF14458"/>
    <w:rsid w:val="2DFF4B3A"/>
    <w:rsid w:val="2EDF2649"/>
    <w:rsid w:val="2F145B4A"/>
    <w:rsid w:val="2F3A03A2"/>
    <w:rsid w:val="2F644800"/>
    <w:rsid w:val="2F6F654E"/>
    <w:rsid w:val="2F976525"/>
    <w:rsid w:val="2FA5C5CD"/>
    <w:rsid w:val="2FB8FC04"/>
    <w:rsid w:val="2FBE5E90"/>
    <w:rsid w:val="2FF95256"/>
    <w:rsid w:val="2FF999F4"/>
    <w:rsid w:val="30AA3876"/>
    <w:rsid w:val="30D52547"/>
    <w:rsid w:val="31B22C4E"/>
    <w:rsid w:val="31FCEB38"/>
    <w:rsid w:val="32785148"/>
    <w:rsid w:val="33562460"/>
    <w:rsid w:val="335C6275"/>
    <w:rsid w:val="337806C2"/>
    <w:rsid w:val="339B4B8D"/>
    <w:rsid w:val="33AF7B6C"/>
    <w:rsid w:val="33C50846"/>
    <w:rsid w:val="33D3D402"/>
    <w:rsid w:val="344312E5"/>
    <w:rsid w:val="34CF1808"/>
    <w:rsid w:val="34D50CD6"/>
    <w:rsid w:val="350A39B5"/>
    <w:rsid w:val="35DB45EC"/>
    <w:rsid w:val="35FFAC8C"/>
    <w:rsid w:val="360A3C9A"/>
    <w:rsid w:val="36463AD8"/>
    <w:rsid w:val="36B268B6"/>
    <w:rsid w:val="36E56B24"/>
    <w:rsid w:val="37010B8D"/>
    <w:rsid w:val="37DD8EB5"/>
    <w:rsid w:val="37DF784E"/>
    <w:rsid w:val="37EDDFD9"/>
    <w:rsid w:val="37F5EFB7"/>
    <w:rsid w:val="37FF6220"/>
    <w:rsid w:val="382972E7"/>
    <w:rsid w:val="389571BB"/>
    <w:rsid w:val="39373E3E"/>
    <w:rsid w:val="39560A71"/>
    <w:rsid w:val="397C1FAA"/>
    <w:rsid w:val="39EB7307"/>
    <w:rsid w:val="3A3C4101"/>
    <w:rsid w:val="3A9F362E"/>
    <w:rsid w:val="3ABB2C8E"/>
    <w:rsid w:val="3AC41BA1"/>
    <w:rsid w:val="3AEC6E1D"/>
    <w:rsid w:val="3AFF6728"/>
    <w:rsid w:val="3B7FE182"/>
    <w:rsid w:val="3BAC54C9"/>
    <w:rsid w:val="3BB33F13"/>
    <w:rsid w:val="3BF36D81"/>
    <w:rsid w:val="3BF5F8CF"/>
    <w:rsid w:val="3C0815A9"/>
    <w:rsid w:val="3C241A85"/>
    <w:rsid w:val="3C907F56"/>
    <w:rsid w:val="3C9D6103"/>
    <w:rsid w:val="3CDB35A0"/>
    <w:rsid w:val="3CDC8572"/>
    <w:rsid w:val="3CE43B44"/>
    <w:rsid w:val="3D3612B2"/>
    <w:rsid w:val="3D3751CF"/>
    <w:rsid w:val="3D567E34"/>
    <w:rsid w:val="3D7451D1"/>
    <w:rsid w:val="3D9A1C4D"/>
    <w:rsid w:val="3DD300A3"/>
    <w:rsid w:val="3DDEDAB2"/>
    <w:rsid w:val="3DE3DC5C"/>
    <w:rsid w:val="3DF76D91"/>
    <w:rsid w:val="3DFB5A93"/>
    <w:rsid w:val="3E31034A"/>
    <w:rsid w:val="3EE74F72"/>
    <w:rsid w:val="3EE92F21"/>
    <w:rsid w:val="3EF36F68"/>
    <w:rsid w:val="3F1B0D48"/>
    <w:rsid w:val="3F393A1D"/>
    <w:rsid w:val="3F9E449C"/>
    <w:rsid w:val="3FD073DC"/>
    <w:rsid w:val="3FDB4C97"/>
    <w:rsid w:val="3FDFA12D"/>
    <w:rsid w:val="3FF78FA4"/>
    <w:rsid w:val="3FFF5A52"/>
    <w:rsid w:val="40B734AC"/>
    <w:rsid w:val="4129237D"/>
    <w:rsid w:val="416114A4"/>
    <w:rsid w:val="41926415"/>
    <w:rsid w:val="41A5535A"/>
    <w:rsid w:val="41A80297"/>
    <w:rsid w:val="42142BC4"/>
    <w:rsid w:val="42171DA8"/>
    <w:rsid w:val="42646932"/>
    <w:rsid w:val="428D7068"/>
    <w:rsid w:val="43584E1E"/>
    <w:rsid w:val="43DA7450"/>
    <w:rsid w:val="43F26E15"/>
    <w:rsid w:val="44462242"/>
    <w:rsid w:val="448602CE"/>
    <w:rsid w:val="448E154E"/>
    <w:rsid w:val="45581B1A"/>
    <w:rsid w:val="458355BC"/>
    <w:rsid w:val="45F92065"/>
    <w:rsid w:val="46264CD5"/>
    <w:rsid w:val="46EE3EBD"/>
    <w:rsid w:val="471C0413"/>
    <w:rsid w:val="475331B9"/>
    <w:rsid w:val="47555236"/>
    <w:rsid w:val="476D2777"/>
    <w:rsid w:val="477836AA"/>
    <w:rsid w:val="47AD1913"/>
    <w:rsid w:val="47BFA07F"/>
    <w:rsid w:val="47D73EF5"/>
    <w:rsid w:val="47FFB4DB"/>
    <w:rsid w:val="480C1F63"/>
    <w:rsid w:val="48207B2E"/>
    <w:rsid w:val="484F49D8"/>
    <w:rsid w:val="486C2C02"/>
    <w:rsid w:val="49866621"/>
    <w:rsid w:val="49B71BE2"/>
    <w:rsid w:val="49FF58FB"/>
    <w:rsid w:val="4AAC2C70"/>
    <w:rsid w:val="4B6511A8"/>
    <w:rsid w:val="4B6F6754"/>
    <w:rsid w:val="4C1D19C6"/>
    <w:rsid w:val="4CC44A4F"/>
    <w:rsid w:val="4CE36926"/>
    <w:rsid w:val="4D4047F4"/>
    <w:rsid w:val="4D457EE8"/>
    <w:rsid w:val="4DBED2E3"/>
    <w:rsid w:val="4DDB77B0"/>
    <w:rsid w:val="4DDE1EAC"/>
    <w:rsid w:val="4E2624D3"/>
    <w:rsid w:val="4E8253F2"/>
    <w:rsid w:val="4ED3014F"/>
    <w:rsid w:val="4EDD0A49"/>
    <w:rsid w:val="4F555A57"/>
    <w:rsid w:val="4F581AF8"/>
    <w:rsid w:val="4FC4007C"/>
    <w:rsid w:val="4FFF161A"/>
    <w:rsid w:val="50587360"/>
    <w:rsid w:val="50DA4769"/>
    <w:rsid w:val="512F2A1E"/>
    <w:rsid w:val="51FED7AB"/>
    <w:rsid w:val="522A3B3A"/>
    <w:rsid w:val="522A3EA6"/>
    <w:rsid w:val="52C16B60"/>
    <w:rsid w:val="530B57A2"/>
    <w:rsid w:val="538E6D40"/>
    <w:rsid w:val="53994CF6"/>
    <w:rsid w:val="543C2110"/>
    <w:rsid w:val="54A80C6A"/>
    <w:rsid w:val="54BF0C45"/>
    <w:rsid w:val="54C10EAD"/>
    <w:rsid w:val="54F9578F"/>
    <w:rsid w:val="553D963B"/>
    <w:rsid w:val="553E70C7"/>
    <w:rsid w:val="555F0B75"/>
    <w:rsid w:val="55CB00D7"/>
    <w:rsid w:val="55FB7801"/>
    <w:rsid w:val="560C61A9"/>
    <w:rsid w:val="569F693C"/>
    <w:rsid w:val="56C208DC"/>
    <w:rsid w:val="56C24918"/>
    <w:rsid w:val="56E07B22"/>
    <w:rsid w:val="57043DCC"/>
    <w:rsid w:val="571DE956"/>
    <w:rsid w:val="57301C7B"/>
    <w:rsid w:val="57B769ED"/>
    <w:rsid w:val="57CFDF51"/>
    <w:rsid w:val="57D1C1AF"/>
    <w:rsid w:val="57EDA879"/>
    <w:rsid w:val="57FB1DBD"/>
    <w:rsid w:val="5860220E"/>
    <w:rsid w:val="58EE27DD"/>
    <w:rsid w:val="59144E6B"/>
    <w:rsid w:val="59271BFC"/>
    <w:rsid w:val="59543389"/>
    <w:rsid w:val="59AB1F68"/>
    <w:rsid w:val="59FD4498"/>
    <w:rsid w:val="5A9046AA"/>
    <w:rsid w:val="5AB215CD"/>
    <w:rsid w:val="5ABC491A"/>
    <w:rsid w:val="5B541BA2"/>
    <w:rsid w:val="5BAA7F6B"/>
    <w:rsid w:val="5BAF7F75"/>
    <w:rsid w:val="5BD462C2"/>
    <w:rsid w:val="5BF74E71"/>
    <w:rsid w:val="5BFBC466"/>
    <w:rsid w:val="5C435666"/>
    <w:rsid w:val="5C4E6036"/>
    <w:rsid w:val="5CEC5268"/>
    <w:rsid w:val="5CF07D2E"/>
    <w:rsid w:val="5CF710AC"/>
    <w:rsid w:val="5D077368"/>
    <w:rsid w:val="5DF57B24"/>
    <w:rsid w:val="5DFE314F"/>
    <w:rsid w:val="5E1607E9"/>
    <w:rsid w:val="5E6455C7"/>
    <w:rsid w:val="5E760B61"/>
    <w:rsid w:val="5E7FFEA2"/>
    <w:rsid w:val="5E835025"/>
    <w:rsid w:val="5EB9FB6C"/>
    <w:rsid w:val="5EEF57C8"/>
    <w:rsid w:val="5EF750B1"/>
    <w:rsid w:val="5EFA7CCD"/>
    <w:rsid w:val="5EFA7F63"/>
    <w:rsid w:val="5F207CEF"/>
    <w:rsid w:val="5F274E04"/>
    <w:rsid w:val="5F5EEB60"/>
    <w:rsid w:val="5F5FEBF4"/>
    <w:rsid w:val="5F770559"/>
    <w:rsid w:val="5F7EC300"/>
    <w:rsid w:val="5F9FDB47"/>
    <w:rsid w:val="5FA51466"/>
    <w:rsid w:val="5FBF8FE3"/>
    <w:rsid w:val="5FDBCA0B"/>
    <w:rsid w:val="5FE42CBE"/>
    <w:rsid w:val="5FED006E"/>
    <w:rsid w:val="5FEF814E"/>
    <w:rsid w:val="5FFBBB2D"/>
    <w:rsid w:val="609662D8"/>
    <w:rsid w:val="610331D4"/>
    <w:rsid w:val="610D1CA0"/>
    <w:rsid w:val="61961C58"/>
    <w:rsid w:val="61C9360E"/>
    <w:rsid w:val="623C3837"/>
    <w:rsid w:val="630A2CC1"/>
    <w:rsid w:val="630A6ACB"/>
    <w:rsid w:val="63480B6D"/>
    <w:rsid w:val="63652A25"/>
    <w:rsid w:val="639F05BF"/>
    <w:rsid w:val="63BFC745"/>
    <w:rsid w:val="641C779B"/>
    <w:rsid w:val="64E63F15"/>
    <w:rsid w:val="65354449"/>
    <w:rsid w:val="6537525B"/>
    <w:rsid w:val="65380CDB"/>
    <w:rsid w:val="67102B32"/>
    <w:rsid w:val="675777D3"/>
    <w:rsid w:val="677F67B3"/>
    <w:rsid w:val="67973930"/>
    <w:rsid w:val="683F0334"/>
    <w:rsid w:val="68827435"/>
    <w:rsid w:val="6899481E"/>
    <w:rsid w:val="68C33D20"/>
    <w:rsid w:val="68FD70F4"/>
    <w:rsid w:val="6925335D"/>
    <w:rsid w:val="697E0618"/>
    <w:rsid w:val="69D20324"/>
    <w:rsid w:val="6A1D04F8"/>
    <w:rsid w:val="6A481951"/>
    <w:rsid w:val="6A571C5D"/>
    <w:rsid w:val="6A67790E"/>
    <w:rsid w:val="6A76463E"/>
    <w:rsid w:val="6AAC4E6A"/>
    <w:rsid w:val="6AC449AD"/>
    <w:rsid w:val="6AF52F37"/>
    <w:rsid w:val="6B2FE01A"/>
    <w:rsid w:val="6B714202"/>
    <w:rsid w:val="6B721475"/>
    <w:rsid w:val="6B737043"/>
    <w:rsid w:val="6BBF2821"/>
    <w:rsid w:val="6BDA6E52"/>
    <w:rsid w:val="6BED94DC"/>
    <w:rsid w:val="6BFC45B1"/>
    <w:rsid w:val="6CA2C6A6"/>
    <w:rsid w:val="6CDB4FDA"/>
    <w:rsid w:val="6CED45F0"/>
    <w:rsid w:val="6D0A79DB"/>
    <w:rsid w:val="6D0C7461"/>
    <w:rsid w:val="6D544DC8"/>
    <w:rsid w:val="6D610F19"/>
    <w:rsid w:val="6DA03D7C"/>
    <w:rsid w:val="6DAFB8E1"/>
    <w:rsid w:val="6DDE185F"/>
    <w:rsid w:val="6DFBB6E0"/>
    <w:rsid w:val="6E124EEB"/>
    <w:rsid w:val="6E773425"/>
    <w:rsid w:val="6ED07C38"/>
    <w:rsid w:val="6ED7C455"/>
    <w:rsid w:val="6EFF03D0"/>
    <w:rsid w:val="6F3E4411"/>
    <w:rsid w:val="6F873A38"/>
    <w:rsid w:val="6FBB27F8"/>
    <w:rsid w:val="6FBF0767"/>
    <w:rsid w:val="6FBFEA2F"/>
    <w:rsid w:val="6FC85141"/>
    <w:rsid w:val="6FC87871"/>
    <w:rsid w:val="6FD63610"/>
    <w:rsid w:val="6FD711F5"/>
    <w:rsid w:val="6FDDDED3"/>
    <w:rsid w:val="6FFB9D94"/>
    <w:rsid w:val="6FFF438D"/>
    <w:rsid w:val="6FFF53F3"/>
    <w:rsid w:val="6FFFB58F"/>
    <w:rsid w:val="70AEB42A"/>
    <w:rsid w:val="70D16527"/>
    <w:rsid w:val="713FA400"/>
    <w:rsid w:val="7148570A"/>
    <w:rsid w:val="714F758B"/>
    <w:rsid w:val="71B38094"/>
    <w:rsid w:val="71BFF658"/>
    <w:rsid w:val="71E7CB43"/>
    <w:rsid w:val="725F44FF"/>
    <w:rsid w:val="728071FE"/>
    <w:rsid w:val="72905FCE"/>
    <w:rsid w:val="7303581B"/>
    <w:rsid w:val="73367E46"/>
    <w:rsid w:val="7352CCCC"/>
    <w:rsid w:val="735E2EB1"/>
    <w:rsid w:val="7360009B"/>
    <w:rsid w:val="73674849"/>
    <w:rsid w:val="73951F7B"/>
    <w:rsid w:val="73BD805E"/>
    <w:rsid w:val="73D3F246"/>
    <w:rsid w:val="73DFF8DC"/>
    <w:rsid w:val="73EB6B05"/>
    <w:rsid w:val="73FFC0C1"/>
    <w:rsid w:val="743FECE9"/>
    <w:rsid w:val="74BD2E49"/>
    <w:rsid w:val="74BDD086"/>
    <w:rsid w:val="74CEB0D1"/>
    <w:rsid w:val="74DF1BB8"/>
    <w:rsid w:val="74FE1922"/>
    <w:rsid w:val="753D740F"/>
    <w:rsid w:val="75682E46"/>
    <w:rsid w:val="757DE146"/>
    <w:rsid w:val="75BF79B9"/>
    <w:rsid w:val="764907C4"/>
    <w:rsid w:val="76C5265A"/>
    <w:rsid w:val="76EE16DD"/>
    <w:rsid w:val="76F81981"/>
    <w:rsid w:val="76FB1BFC"/>
    <w:rsid w:val="76FB9B77"/>
    <w:rsid w:val="76FCBC12"/>
    <w:rsid w:val="770B682C"/>
    <w:rsid w:val="77399BBC"/>
    <w:rsid w:val="773D4A1F"/>
    <w:rsid w:val="775F202E"/>
    <w:rsid w:val="776E1D6E"/>
    <w:rsid w:val="779FEE21"/>
    <w:rsid w:val="77BFD338"/>
    <w:rsid w:val="77DD28A7"/>
    <w:rsid w:val="77DF5326"/>
    <w:rsid w:val="77E76F46"/>
    <w:rsid w:val="77F43CE9"/>
    <w:rsid w:val="77F8B7D7"/>
    <w:rsid w:val="77F8D293"/>
    <w:rsid w:val="7868390B"/>
    <w:rsid w:val="78A5348D"/>
    <w:rsid w:val="78AC3BC0"/>
    <w:rsid w:val="78C855E8"/>
    <w:rsid w:val="78D76440"/>
    <w:rsid w:val="78E32B4B"/>
    <w:rsid w:val="79E20D25"/>
    <w:rsid w:val="79E5AF78"/>
    <w:rsid w:val="79FB8427"/>
    <w:rsid w:val="7AA4136E"/>
    <w:rsid w:val="7AB74892"/>
    <w:rsid w:val="7AD76E3E"/>
    <w:rsid w:val="7AD810A7"/>
    <w:rsid w:val="7AFFD46F"/>
    <w:rsid w:val="7B2F5383"/>
    <w:rsid w:val="7B7D54BB"/>
    <w:rsid w:val="7B7DE5AA"/>
    <w:rsid w:val="7B9B156A"/>
    <w:rsid w:val="7BA33003"/>
    <w:rsid w:val="7BA36795"/>
    <w:rsid w:val="7BA41E9D"/>
    <w:rsid w:val="7BBF7581"/>
    <w:rsid w:val="7BBF79A5"/>
    <w:rsid w:val="7BC34DDB"/>
    <w:rsid w:val="7BDC69F6"/>
    <w:rsid w:val="7BEE7C1D"/>
    <w:rsid w:val="7BFB4E2C"/>
    <w:rsid w:val="7BFFD326"/>
    <w:rsid w:val="7BFFF6D0"/>
    <w:rsid w:val="7C4E696F"/>
    <w:rsid w:val="7C7F5220"/>
    <w:rsid w:val="7C7FBFC1"/>
    <w:rsid w:val="7C885A31"/>
    <w:rsid w:val="7C923123"/>
    <w:rsid w:val="7CB66231"/>
    <w:rsid w:val="7CE043F9"/>
    <w:rsid w:val="7CF13E3E"/>
    <w:rsid w:val="7D2C57F6"/>
    <w:rsid w:val="7D2F0F10"/>
    <w:rsid w:val="7D5050D6"/>
    <w:rsid w:val="7D871368"/>
    <w:rsid w:val="7DBD8B88"/>
    <w:rsid w:val="7DDD0547"/>
    <w:rsid w:val="7DE5C37F"/>
    <w:rsid w:val="7DFF5290"/>
    <w:rsid w:val="7E045DBF"/>
    <w:rsid w:val="7E356E30"/>
    <w:rsid w:val="7E3A7FDC"/>
    <w:rsid w:val="7E4B3547"/>
    <w:rsid w:val="7E578DB4"/>
    <w:rsid w:val="7E6F8A29"/>
    <w:rsid w:val="7E752446"/>
    <w:rsid w:val="7E795903"/>
    <w:rsid w:val="7EB4547E"/>
    <w:rsid w:val="7EC9431E"/>
    <w:rsid w:val="7EF1068E"/>
    <w:rsid w:val="7EF509F6"/>
    <w:rsid w:val="7EFDAAC6"/>
    <w:rsid w:val="7EFF6052"/>
    <w:rsid w:val="7EFF7769"/>
    <w:rsid w:val="7EFFF449"/>
    <w:rsid w:val="7F570B46"/>
    <w:rsid w:val="7F5FA7ED"/>
    <w:rsid w:val="7F5FF730"/>
    <w:rsid w:val="7F67427A"/>
    <w:rsid w:val="7F6A6F6E"/>
    <w:rsid w:val="7F6DB6F2"/>
    <w:rsid w:val="7F729D92"/>
    <w:rsid w:val="7F7D58EC"/>
    <w:rsid w:val="7F931A33"/>
    <w:rsid w:val="7F9F773D"/>
    <w:rsid w:val="7FBFA002"/>
    <w:rsid w:val="7FBFCD67"/>
    <w:rsid w:val="7FC35B3E"/>
    <w:rsid w:val="7FC72427"/>
    <w:rsid w:val="7FC859F5"/>
    <w:rsid w:val="7FCE31B1"/>
    <w:rsid w:val="7FCE87EB"/>
    <w:rsid w:val="7FE70BA3"/>
    <w:rsid w:val="7FEF99F8"/>
    <w:rsid w:val="7FEFD784"/>
    <w:rsid w:val="7FEFF870"/>
    <w:rsid w:val="7FF63DC3"/>
    <w:rsid w:val="7FFB9F5D"/>
    <w:rsid w:val="7FFE77CE"/>
    <w:rsid w:val="7FFF2493"/>
    <w:rsid w:val="7FFF40B3"/>
    <w:rsid w:val="7FFF644D"/>
    <w:rsid w:val="7FFFA0AE"/>
    <w:rsid w:val="7FFFBEA4"/>
    <w:rsid w:val="7FFFE01F"/>
    <w:rsid w:val="87FF0947"/>
    <w:rsid w:val="8AFF949A"/>
    <w:rsid w:val="957A0FDA"/>
    <w:rsid w:val="95DE9D87"/>
    <w:rsid w:val="96FF1237"/>
    <w:rsid w:val="974F2B3E"/>
    <w:rsid w:val="97CF1DAD"/>
    <w:rsid w:val="9B358FE5"/>
    <w:rsid w:val="9BF78E84"/>
    <w:rsid w:val="9D4B5CFF"/>
    <w:rsid w:val="9DB53021"/>
    <w:rsid w:val="9EAB038B"/>
    <w:rsid w:val="9EBB0FDD"/>
    <w:rsid w:val="9EE34F3D"/>
    <w:rsid w:val="9EFDBC59"/>
    <w:rsid w:val="9F5512DB"/>
    <w:rsid w:val="9FEDE9CD"/>
    <w:rsid w:val="A577D0FF"/>
    <w:rsid w:val="A7B2186E"/>
    <w:rsid w:val="A7F53368"/>
    <w:rsid w:val="A9FB8CAF"/>
    <w:rsid w:val="AD5B7706"/>
    <w:rsid w:val="ADCB0C71"/>
    <w:rsid w:val="ADF3F3F5"/>
    <w:rsid w:val="AEAC0363"/>
    <w:rsid w:val="AEDE5A29"/>
    <w:rsid w:val="AEF6A94F"/>
    <w:rsid w:val="AEFFC84F"/>
    <w:rsid w:val="AF5FAC28"/>
    <w:rsid w:val="AFBC3553"/>
    <w:rsid w:val="B13F4248"/>
    <w:rsid w:val="B3779AE0"/>
    <w:rsid w:val="B3F32176"/>
    <w:rsid w:val="B4BDC398"/>
    <w:rsid w:val="B573288A"/>
    <w:rsid w:val="B5A96E7E"/>
    <w:rsid w:val="B77FAB98"/>
    <w:rsid w:val="B7DFB458"/>
    <w:rsid w:val="B7F67575"/>
    <w:rsid w:val="B7FFAF90"/>
    <w:rsid w:val="B83F9AA9"/>
    <w:rsid w:val="B9F55511"/>
    <w:rsid w:val="BA7B23C6"/>
    <w:rsid w:val="BAFE4C4F"/>
    <w:rsid w:val="BAFF40A9"/>
    <w:rsid w:val="BB1F30C6"/>
    <w:rsid w:val="BB6FFE56"/>
    <w:rsid w:val="BB7B0129"/>
    <w:rsid w:val="BBB8F01D"/>
    <w:rsid w:val="BBDF96DE"/>
    <w:rsid w:val="BBFE9DC8"/>
    <w:rsid w:val="BBFF8FEA"/>
    <w:rsid w:val="BD8FA07D"/>
    <w:rsid w:val="BE6E1B98"/>
    <w:rsid w:val="BEFD0A49"/>
    <w:rsid w:val="BF7DC91B"/>
    <w:rsid w:val="BF8922FE"/>
    <w:rsid w:val="BF8C14B5"/>
    <w:rsid w:val="BF97D228"/>
    <w:rsid w:val="BFCA6039"/>
    <w:rsid w:val="BFD88C2D"/>
    <w:rsid w:val="BFEFAD9B"/>
    <w:rsid w:val="BFEFE4B2"/>
    <w:rsid w:val="BFF4FFAB"/>
    <w:rsid w:val="BFFBA215"/>
    <w:rsid w:val="BFFF107D"/>
    <w:rsid w:val="BFFFAA3B"/>
    <w:rsid w:val="C16D8A35"/>
    <w:rsid w:val="C5EE99FA"/>
    <w:rsid w:val="C93B4E7C"/>
    <w:rsid w:val="CBBDDFBA"/>
    <w:rsid w:val="CCABD4E0"/>
    <w:rsid w:val="CCBFD2E7"/>
    <w:rsid w:val="CCCEE0DF"/>
    <w:rsid w:val="CDFE5D04"/>
    <w:rsid w:val="CEFF30E5"/>
    <w:rsid w:val="CF5C7B04"/>
    <w:rsid w:val="CFBA7A5F"/>
    <w:rsid w:val="CFDDF763"/>
    <w:rsid w:val="CFF759A5"/>
    <w:rsid w:val="CFFF4070"/>
    <w:rsid w:val="D5AF3CC4"/>
    <w:rsid w:val="D5EBC246"/>
    <w:rsid w:val="D5F387A3"/>
    <w:rsid w:val="D697F827"/>
    <w:rsid w:val="D7DB262F"/>
    <w:rsid w:val="D7FEEAC3"/>
    <w:rsid w:val="D8FF6233"/>
    <w:rsid w:val="DB7E9633"/>
    <w:rsid w:val="DBFFA1F6"/>
    <w:rsid w:val="DBFFEA87"/>
    <w:rsid w:val="DCF793B4"/>
    <w:rsid w:val="DD7EF473"/>
    <w:rsid w:val="DD7F3643"/>
    <w:rsid w:val="DDFF5EC8"/>
    <w:rsid w:val="DEFEB8DD"/>
    <w:rsid w:val="DF6E68F0"/>
    <w:rsid w:val="DF6E8EA2"/>
    <w:rsid w:val="DF71DFD2"/>
    <w:rsid w:val="DF7ED17A"/>
    <w:rsid w:val="DF7FBC07"/>
    <w:rsid w:val="DFB981C7"/>
    <w:rsid w:val="DFD76350"/>
    <w:rsid w:val="DFDD4CB5"/>
    <w:rsid w:val="DFF7E9E8"/>
    <w:rsid w:val="DFF87387"/>
    <w:rsid w:val="E32FF0FD"/>
    <w:rsid w:val="E36DA3DA"/>
    <w:rsid w:val="E39FE63B"/>
    <w:rsid w:val="E47B8787"/>
    <w:rsid w:val="E4BF1977"/>
    <w:rsid w:val="E5360792"/>
    <w:rsid w:val="E5F63DA4"/>
    <w:rsid w:val="E66DBAF7"/>
    <w:rsid w:val="E6FFA7DA"/>
    <w:rsid w:val="E77FD471"/>
    <w:rsid w:val="E7BDE8E4"/>
    <w:rsid w:val="E7BF42BF"/>
    <w:rsid w:val="E7DBCAC1"/>
    <w:rsid w:val="E7DE29BA"/>
    <w:rsid w:val="E7EDE5A2"/>
    <w:rsid w:val="E7EEFE5F"/>
    <w:rsid w:val="E7EF967A"/>
    <w:rsid w:val="E7FF9EAA"/>
    <w:rsid w:val="E9EF0A93"/>
    <w:rsid w:val="E9F71EFB"/>
    <w:rsid w:val="EAEFC9F8"/>
    <w:rsid w:val="EAEFE696"/>
    <w:rsid w:val="EB6F1048"/>
    <w:rsid w:val="EB7B4171"/>
    <w:rsid w:val="EB7FB05D"/>
    <w:rsid w:val="EBB266A4"/>
    <w:rsid w:val="EBF6C6E8"/>
    <w:rsid w:val="EBFFF722"/>
    <w:rsid w:val="ECFBD7CD"/>
    <w:rsid w:val="ED1783B8"/>
    <w:rsid w:val="ED78E1D6"/>
    <w:rsid w:val="EDB78FA7"/>
    <w:rsid w:val="EDDFC31F"/>
    <w:rsid w:val="EE6CE828"/>
    <w:rsid w:val="EEEE6F08"/>
    <w:rsid w:val="EEFF43B2"/>
    <w:rsid w:val="EF576E96"/>
    <w:rsid w:val="EF577628"/>
    <w:rsid w:val="EF6F2244"/>
    <w:rsid w:val="EF7EC9F5"/>
    <w:rsid w:val="EF8EDE43"/>
    <w:rsid w:val="EFFE63AD"/>
    <w:rsid w:val="F25FC160"/>
    <w:rsid w:val="F2C2C92D"/>
    <w:rsid w:val="F2EEF20D"/>
    <w:rsid w:val="F2F7C4E7"/>
    <w:rsid w:val="F3AD3CBA"/>
    <w:rsid w:val="F3F5E367"/>
    <w:rsid w:val="F3F92AC7"/>
    <w:rsid w:val="F3FAEDFA"/>
    <w:rsid w:val="F3FF3621"/>
    <w:rsid w:val="F4DFBD0A"/>
    <w:rsid w:val="F5F772F2"/>
    <w:rsid w:val="F6B17FAB"/>
    <w:rsid w:val="F6FC775A"/>
    <w:rsid w:val="F714FCFB"/>
    <w:rsid w:val="F715D89E"/>
    <w:rsid w:val="F7578459"/>
    <w:rsid w:val="F75F1F75"/>
    <w:rsid w:val="F7BEDEAC"/>
    <w:rsid w:val="F7CEEE0B"/>
    <w:rsid w:val="F7D632D8"/>
    <w:rsid w:val="F7FB32A1"/>
    <w:rsid w:val="F7FF6A6B"/>
    <w:rsid w:val="F8EB8CE1"/>
    <w:rsid w:val="F93D7FA8"/>
    <w:rsid w:val="F979F09B"/>
    <w:rsid w:val="F99DDDE0"/>
    <w:rsid w:val="F9EF8B00"/>
    <w:rsid w:val="F9FA383A"/>
    <w:rsid w:val="F9FDD94E"/>
    <w:rsid w:val="F9FEA4F8"/>
    <w:rsid w:val="FA315342"/>
    <w:rsid w:val="FAEE15EB"/>
    <w:rsid w:val="FAEF5A39"/>
    <w:rsid w:val="FAFD8189"/>
    <w:rsid w:val="FB7E0543"/>
    <w:rsid w:val="FB7F4E82"/>
    <w:rsid w:val="FB9F0F3C"/>
    <w:rsid w:val="FBBD7387"/>
    <w:rsid w:val="FBD44A2D"/>
    <w:rsid w:val="FBD58C85"/>
    <w:rsid w:val="FBDD68ED"/>
    <w:rsid w:val="FBE7A6C3"/>
    <w:rsid w:val="FBEF56F4"/>
    <w:rsid w:val="FBF1AF48"/>
    <w:rsid w:val="FBF6D4FC"/>
    <w:rsid w:val="FBFF36EE"/>
    <w:rsid w:val="FBFF790E"/>
    <w:rsid w:val="FC5A5A24"/>
    <w:rsid w:val="FC7FCDCA"/>
    <w:rsid w:val="FCEF79F0"/>
    <w:rsid w:val="FCF704C0"/>
    <w:rsid w:val="FCFCDE7E"/>
    <w:rsid w:val="FD2FB307"/>
    <w:rsid w:val="FD34ECC6"/>
    <w:rsid w:val="FDB6299D"/>
    <w:rsid w:val="FDDB5C4A"/>
    <w:rsid w:val="FDDE0EE7"/>
    <w:rsid w:val="FDDF3B8D"/>
    <w:rsid w:val="FDEF23D3"/>
    <w:rsid w:val="FDF39CAD"/>
    <w:rsid w:val="FDF76314"/>
    <w:rsid w:val="FDFDAF30"/>
    <w:rsid w:val="FE31FB87"/>
    <w:rsid w:val="FE539A15"/>
    <w:rsid w:val="FE5F9F47"/>
    <w:rsid w:val="FE734873"/>
    <w:rsid w:val="FE770F45"/>
    <w:rsid w:val="FE779C20"/>
    <w:rsid w:val="FEA1B226"/>
    <w:rsid w:val="FEB7CB39"/>
    <w:rsid w:val="FEDECD1C"/>
    <w:rsid w:val="FEDF03BA"/>
    <w:rsid w:val="FEDF528D"/>
    <w:rsid w:val="FEDF8D36"/>
    <w:rsid w:val="FEEF98A1"/>
    <w:rsid w:val="FEF4533D"/>
    <w:rsid w:val="FEFD077D"/>
    <w:rsid w:val="FF0F3FC8"/>
    <w:rsid w:val="FF3650EA"/>
    <w:rsid w:val="FF3C3BD7"/>
    <w:rsid w:val="FF3F6377"/>
    <w:rsid w:val="FF5D3C16"/>
    <w:rsid w:val="FF69405A"/>
    <w:rsid w:val="FF6F9E27"/>
    <w:rsid w:val="FF7B0610"/>
    <w:rsid w:val="FF7F3647"/>
    <w:rsid w:val="FF7F550D"/>
    <w:rsid w:val="FFB99021"/>
    <w:rsid w:val="FFBB46FC"/>
    <w:rsid w:val="FFBD8045"/>
    <w:rsid w:val="FFBDBD2E"/>
    <w:rsid w:val="FFBF2BEA"/>
    <w:rsid w:val="FFBFA42D"/>
    <w:rsid w:val="FFBFF577"/>
    <w:rsid w:val="FFC7F998"/>
    <w:rsid w:val="FFCE9D0D"/>
    <w:rsid w:val="FFDFB56F"/>
    <w:rsid w:val="FFEB3A00"/>
    <w:rsid w:val="FFF60000"/>
    <w:rsid w:val="FFF64619"/>
    <w:rsid w:val="FFF7672E"/>
    <w:rsid w:val="FFF78AB3"/>
    <w:rsid w:val="FFF7F493"/>
    <w:rsid w:val="FFFB9F24"/>
    <w:rsid w:val="FFFC6302"/>
    <w:rsid w:val="FFFE6D1B"/>
    <w:rsid w:val="FFFF07AF"/>
    <w:rsid w:val="FFFF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qFormat/>
    <w:uiPriority w:val="0"/>
    <w:pPr>
      <w:ind w:firstLine="420" w:firstLineChars="200"/>
    </w:pPr>
    <w:rPr>
      <w:rFonts w:ascii="Times New Roman" w:hAnsi="仿宋" w:eastAsia="黑体" w:cs="Times New Roman"/>
      <w:b/>
      <w:szCs w:val="32"/>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semiHidden/>
    <w:qFormat/>
    <w:uiPriority w:val="0"/>
    <w:pPr>
      <w:ind w:left="420" w:leftChars="200" w:firstLine="200" w:firstLineChars="200"/>
    </w:pPr>
    <w:rPr>
      <w:rFonts w:eastAsia="仿宋_GB2312"/>
      <w:sz w:val="2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w:basedOn w:val="2"/>
    <w:next w:val="1"/>
    <w:qFormat/>
    <w:uiPriority w:val="0"/>
    <w:pPr>
      <w:spacing w:line="500" w:lineRule="exact"/>
      <w:ind w:firstLine="420"/>
    </w:pPr>
    <w:rPr>
      <w:rFonts w:eastAsia="楷体_GB2312"/>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样式3"/>
    <w:basedOn w:val="1"/>
    <w:qFormat/>
    <w:uiPriority w:val="0"/>
    <w:pPr>
      <w:spacing w:line="600" w:lineRule="exact"/>
    </w:pPr>
    <w:rPr>
      <w:rFonts w:ascii="仿宋_GB2312" w:hAnsi="仿宋_GB2312" w:eastAsia="仿宋_GB2312" w:cs="仿宋_GB2312"/>
      <w:sz w:val="32"/>
      <w:szCs w:val="32"/>
    </w:rPr>
  </w:style>
  <w:style w:type="character" w:customStyle="1" w:styleId="16">
    <w:name w:val="font31"/>
    <w:basedOn w:val="13"/>
    <w:qFormat/>
    <w:uiPriority w:val="0"/>
    <w:rPr>
      <w:rFonts w:hint="eastAsia" w:ascii="仿宋_GB2312" w:eastAsia="仿宋_GB2312" w:cs="仿宋_GB2312"/>
      <w:color w:val="000000"/>
      <w:sz w:val="21"/>
      <w:szCs w:val="21"/>
      <w:u w:val="none"/>
    </w:rPr>
  </w:style>
  <w:style w:type="character" w:customStyle="1" w:styleId="17">
    <w:name w:val="font51"/>
    <w:qFormat/>
    <w:uiPriority w:val="0"/>
    <w:rPr>
      <w:rFonts w:ascii="Calibri" w:hAnsi="Calibri" w:cs="Calibri"/>
      <w:color w:val="000000"/>
      <w:sz w:val="21"/>
      <w:szCs w:val="21"/>
      <w:u w:val="none"/>
    </w:rPr>
  </w:style>
  <w:style w:type="paragraph" w:customStyle="1" w:styleId="18">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customStyle="1" w:styleId="19">
    <w:name w:val="Table Text"/>
    <w:basedOn w:val="1"/>
    <w:semiHidden/>
    <w:qFormat/>
    <w:uiPriority w:val="0"/>
    <w:rPr>
      <w:rFonts w:ascii="微软雅黑" w:hAnsi="微软雅黑" w:eastAsia="微软雅黑" w:cs="微软雅黑"/>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42de05ab-0a63-407c-9750-64686f2245f4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dc272ed1-a63e-4f42-913b-9b1e84826452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16af8358-a5d5-470a-9db6-05b177bacf02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112</start>
      <end xmlns="http://schemas.wps.cn/vas-ai-hub/contract-review">113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40a167db-41ea-466b-a940-b152ed5a21bc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114</start>
      <end xmlns="http://schemas.wps.cn/vas-ai-hub/contract-review">115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fc7ffad5-9b1e-421d-96da-9eb519b5bc2b</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 AEDA4F8</paraID>
      <start xmlns="http://schemas.wps.cn/vas-ai-hub/contract-review">56</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c6a7bb92-6317-48db-81e7-a5525ea681ae</errorID>
      <errorWord xmlns="http://schemas.wps.cn/vas-ai-hub/contract-review">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即</item>
      </candidateList>
      <explain xmlns="http://schemas.wps.cn/vas-ai-hub/contract-review">存在发音相同字词的误用。</explain>
      <paraID xmlns="http://schemas.wps.cn/vas-ai-hub/contract-review">3F2FCD2C</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05b8220b-c30a-4c24-a3eb-fc7821ab66f3</errorID>
      <errorWord xmlns="http://schemas.wps.cn/vas-ai-hub/contract-review">方案</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计划</item>
      </candidateList>
      <explain xmlns="http://schemas.wps.cn/vas-ai-hub/contract-review">句子可能没有遵循时空、逻辑顺序，或者介词、关联词等位置不当。</explain>
      <paraID xmlns="http://schemas.wps.cn/vas-ai-hub/contract-review">24FBE6FF</paraID>
      <start xmlns="http://schemas.wps.cn/vas-ai-hub/contract-review">25</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3b27d808-354a-43d1-80bd-aad13a478fb0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3E829CD1</paraID>
      <start xmlns="http://schemas.wps.cn/vas-ai-hub/contract-review">95</start>
      <end xmlns="http://schemas.wps.cn/vas-ai-hub/contract-review">97</end>
      <status xmlns="http://schemas.wps.cn/vas-ai-hub/contract-review">modified</status>
      <modifiedWord xmlns="http://schemas.wps.cn/vas-ai-hub/contract-review">，由</modifiedWord>
      <trackRevisions xmlns="http://schemas.wps.cn/vas-ai-hub/contract-review">false</trackRevisions>
    </reviewItem>
    <reviewItem xmlns="http://schemas.wps.cn/vas-ai-hub/contract-review">
      <errorID xmlns="http://schemas.wps.cn/vas-ai-hub/contract-review">299fdbed-0c4c-4633-ad18-07aaf62472ec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AE921ED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e31a89ec-4426-403b-85a9-e45a39f620e4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194FAC15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fc45dac7-3b34-4463-92f0-56a51ecfbaa5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1F9FB126</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d59ca919-20cf-4781-98bf-0a2e9903f95f</errorID>
      <errorWord xmlns="http://schemas.wps.cn/vas-ai-hub/contract-review">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规范</item>
      </candidateList>
      <explain xmlns="http://schemas.wps.cn/vas-ai-hub/contract-review">❶〈名〉约定俗成或明文规定的标准：语音～｜道德～。❷〈形〉合乎规范：这个词的用法不～。❸〈动〉使合乎规范：用新的社会道德来～人们的行为。</explain>
      <paraID xmlns="http://schemas.wps.cn/vas-ai-hub/contract-review">63B114C1</paraID>
      <start xmlns="http://schemas.wps.cn/vas-ai-hub/contract-review">4</start>
      <end xmlns="http://schemas.wps.cn/vas-ai-hub/contract-review">6</end>
      <status xmlns="http://schemas.wps.cn/vas-ai-hub/contract-review">modified</status>
      <modifiedWord xmlns="http://schemas.wps.cn/vas-ai-hub/contract-review">规范</modifiedWord>
      <trackRevisions xmlns="http://schemas.wps.cn/vas-ai-hub/contract-review">false</trackRevisions>
    </reviewItem>
    <reviewItem xmlns="http://schemas.wps.cn/vas-ai-hub/contract-review">
      <errorID xmlns="http://schemas.wps.cn/vas-ai-hub/contract-review">4d17fe08-b0c9-438d-8918-8c3bbcdc466a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f9b47e8a-0574-4dd4-8cff-e9c8b004f2de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69</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f625c0ba-3334-4e85-b900-5b1d1d05b533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133</start>
      <end xmlns="http://schemas.wps.cn/vas-ai-hub/contract-review">134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bf0f5ed8-3c3b-40f4-a020-b103db10d5b4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135</start>
      <end xmlns="http://schemas.wps.cn/vas-ai-hub/contract-review">136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c3a75382-a6f4-481a-9821-d76ac04c3443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708f119b-b21a-4425-9106-32db3eab0e07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69</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52849ae7-3841-4ce8-a3d8-2b9b0a2264fd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158</start>
      <end xmlns="http://schemas.wps.cn/vas-ai-hub/contract-review">159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56017503-b9eb-453e-96f5-b60cff8cdd6a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160</start>
      <end xmlns="http://schemas.wps.cn/vas-ai-hub/contract-review">161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3dc4eeb3-b5b0-4c56-9c99-863035a152b8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69B4FFE3</paraID>
      <start xmlns="http://schemas.wps.cn/vas-ai-hub/contract-review">58</start>
      <end xmlns="http://schemas.wps.cn/vas-ai-hub/contract-review">60</end>
      <status xmlns="http://schemas.wps.cn/vas-ai-hub/contract-review">modified</status>
      <modifiedWord xmlns="http://schemas.wps.cn/vas-ai-hub/contract-review">，由</modifiedWord>
      <trackRevisions xmlns="http://schemas.wps.cn/vas-ai-hub/contract-review">false</trackRevisions>
    </reviewItem>
    <reviewItem xmlns="http://schemas.wps.cn/vas-ai-hub/contract-review">
      <errorID xmlns="http://schemas.wps.cn/vas-ai-hub/contract-review">852dab77-75f1-420c-8d06-96e42bfda478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5C4B0E22</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0e9c3f7d-9a4b-4b9a-a0f7-34315335639b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5C4B0E22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5d4554fd-6e1f-4bcf-aaa0-528487ec6a14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74B3B7E8</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71250579-6b32-46b8-8bd3-5bbf1f841234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46CA2F3E</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9369704b-fb3f-4e33-b1b6-a67801627029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6D93DE60</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f2322102-b862-4bd9-a31a-2a9f2aa1a3cf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15B2B79E</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95ff2037-2725-4448-8f64-93bc58fd26cb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15B2B79E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1bed1b19-a455-4ec9-b1e0-f7e61a85a0ab</errorID>
      <errorWord xmlns="http://schemas.wps.cn/vas-ai-hub/contract-review">80-99%</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80%—99%</item>
      </candidateList>
      <explain xmlns="http://schemas.wps.cn/vas-ai-hub/contract-review">1. “80-99%”中的单位“%”仅出现在后一个数字上，容易引起歧义；根据《现代汉语标点符号数字用法规范手册》，数字表示范围两边需要使用统一的格式。2.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6AC09450</paraID>
      <start xmlns="http://schemas.wps.cn/vas-ai-hub/contract-review">11</start>
      <end xmlns="http://schemas.wps.cn/vas-ai-hub/contract-review">18</end>
      <status xmlns="http://schemas.wps.cn/vas-ai-hub/contract-review">modified</status>
      <modifiedWord xmlns="http://schemas.wps.cn/vas-ai-hub/contract-review">80%—99%</modifiedWord>
      <trackRevisions xmlns="http://schemas.wps.cn/vas-ai-hub/contract-review">false</trackRevisions>
    </reviewItem>
    <reviewItem xmlns="http://schemas.wps.cn/vas-ai-hub/contract-review">
      <errorID xmlns="http://schemas.wps.cn/vas-ai-hub/contract-review">1067dd8a-aab4-4c64-8d96-4ad85cb13f1e</errorID>
      <errorWord xmlns="http://schemas.wps.cn/vas-ai-hub/contract-review">50%-79%</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50%—79%</item>
      </candidateList>
      <explain xmlns="http://schemas.wps.cn/vas-ai-hub/contract-review">1. “50%-79%”中的单位“%”仅出现在后一个数字上，容易引起歧义；根据《现代汉语标点符号数字用法规范手册》，数字表示范围两边需要使用统一的格式。2.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6AC09450</paraID>
      <start xmlns="http://schemas.wps.cn/vas-ai-hub/contract-review">22</start>
      <end xmlns="http://schemas.wps.cn/vas-ai-hub/contract-review">29</end>
      <status xmlns="http://schemas.wps.cn/vas-ai-hub/contract-review">modified</status>
      <modifiedWord xmlns="http://schemas.wps.cn/vas-ai-hub/contract-review">50%—79%</modifiedWord>
      <trackRevisions xmlns="http://schemas.wps.cn/vas-ai-hub/contract-review">false</trackRevisions>
    </reviewItem>
    <reviewItem xmlns="http://schemas.wps.cn/vas-ai-hub/contract-review">
      <errorID xmlns="http://schemas.wps.cn/vas-ai-hub/contract-review">329697f7-cfae-4f5d-87d1-7ce3857c0edc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6AF67446</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aee93b8c-f058-4490-90fc-a4482aefd017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C326EC2</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9e9a9f2b-8809-4e52-9506-c37e1c736f8a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3B50482B</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24a9d3da-32bf-42c7-97ce-22e658a56fd0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33942600</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e52ada5b-b52c-4e2e-abd2-b97aae8cb835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2E043661</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82e28353-5b97-43bd-8263-cc123e9abd11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1FFCFBC6</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4191f606-10d1-4873-9807-86ab454e6bf8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7DC7016F</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7ad567f7-3e2c-4bec-b079-a04e7ba074e6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56C70494</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8536d8d0-aaf7-4a69-a219-c819676c62b6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3A2AD08E</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173a97ab-3ab2-45c7-8267-39826be667b1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58153E19</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697f69f0-4d48-4409-8638-941f91bbd07d</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65F87EB9</paraID>
      <start xmlns="http://schemas.wps.cn/vas-ai-hub/contract-review">56</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aae678e3-b2c1-46e3-9d2f-d6c0e65b5b75</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5F9A3595</paraID>
      <start xmlns="http://schemas.wps.cn/vas-ai-hub/contract-review">56</start>
      <end xmlns="http://schemas.wps.cn/vas-ai-hub/contract-review">58</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96eeb-d082-4289-9e97-0c5c34cb9d78}">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7</Pages>
  <Words>5609</Words>
  <Characters>5821</Characters>
  <Lines>196</Lines>
  <Paragraphs>55</Paragraphs>
  <TotalTime>1</TotalTime>
  <ScaleCrop>false</ScaleCrop>
  <LinksUpToDate>false</LinksUpToDate>
  <CharactersWithSpaces>5944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zhaoxinlei</dc:creator>
  <cp:lastModifiedBy>qtxs</cp:lastModifiedBy>
  <cp:lastPrinted>2026-02-10T06:52:00Z</cp:lastPrinted>
  <dcterms:modified xsi:type="dcterms:W3CDTF">2026-02-09T16:43:31Z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D840094CF616915AFC81896979053E61_43</vt:lpwstr>
  </property>
  <property fmtid="{D5CDD505-2E9C-101B-9397-08002B2CF9AE}" pid="4" name="KSOTemplateDocerSaveRecord">
    <vt:lpwstr>eyJoZGlkIjoiMDFlMjk2YzRhNGMyY2U4ZjBkOWQ2ZDBlYmQyOTQxNjkiLCJ1c2VySWQiOiI3MjM4NzA2NzIifQ==</vt:lpwstr>
  </property>
</Properties>
</file>