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56A1">
      <w:pP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</w:p>
    <w:p w14:paraId="0527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青铜峡市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年农机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安全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免费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项目</w:t>
      </w:r>
    </w:p>
    <w:p w14:paraId="0908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绩效考核实施方案</w:t>
      </w:r>
    </w:p>
    <w:p w14:paraId="0BF027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firstLine="640" w:firstLineChars="200"/>
        <w:jc w:val="left"/>
        <w:textAlignment w:val="baseline"/>
        <w:outlineLvl w:val="9"/>
        <w:rPr>
          <w:rFonts w:hint="eastAsia" w:ascii="方正仿宋_GBK" w:hAnsi="方正仿宋_GBK" w:eastAsia="方正仿宋_GBK" w:cs="方正仿宋_GBK"/>
          <w:color w:val="222222"/>
          <w:kern w:val="0"/>
          <w:sz w:val="32"/>
          <w:szCs w:val="32"/>
        </w:rPr>
      </w:pPr>
    </w:p>
    <w:p w14:paraId="052EB3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为贯彻落实自治区人民政府《关于全面推进预算绩效管理的实施意见》，做好农机免费管理项目总结验收和绩效考核工作，不断提升全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农机安全监管水平，制定本考核办法。</w:t>
      </w:r>
    </w:p>
    <w:p w14:paraId="727DCC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  <w:t>、绩效考核依据</w:t>
      </w:r>
    </w:p>
    <w:p w14:paraId="3914EF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（一）自治区农业农村厅、财政厅下达的农机免费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资金计划的文件及实施方案、绩效考核办法。</w:t>
      </w:r>
    </w:p>
    <w:p w14:paraId="3136C6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（二）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青铜峡市农机免费服务项目实施方案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和有关规范、标准及管理制度等。</w:t>
      </w:r>
    </w:p>
    <w:p w14:paraId="5B3D47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b w:val="0"/>
          <w:bCs/>
          <w:spacing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  <w:t>、考核的主要内容</w:t>
      </w:r>
    </w:p>
    <w:p w14:paraId="70F76C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right="0" w:firstLine="683" w:firstLineChars="200"/>
        <w:jc w:val="both"/>
        <w:outlineLvl w:val="9"/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</w:pPr>
      <w:r>
        <w:rPr>
          <w:rFonts w:hint="eastAsia" w:ascii="方正楷体_GBK" w:hAnsi="方正楷体_GBK" w:eastAsia="方正楷体_GBK" w:cs="方正楷体_GBK"/>
          <w:b/>
          <w:bCs/>
          <w:color w:val="222222"/>
          <w:spacing w:val="0"/>
          <w:kern w:val="0"/>
          <w:sz w:val="34"/>
          <w:szCs w:val="34"/>
          <w:lang w:eastAsia="zh-CN"/>
        </w:rPr>
        <w:t>（一）任务完成情况。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注册上牌、驾驶证审验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0"/>
          <w:sz w:val="34"/>
          <w:szCs w:val="34"/>
        </w:rPr>
        <w:t>驾驶证检查和换证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、安全技术检验、农机驾驶操作人员培训考证等计划任务指标完成情况。</w:t>
      </w:r>
    </w:p>
    <w:p w14:paraId="103CFD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right="0" w:firstLine="683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222222"/>
          <w:spacing w:val="0"/>
          <w:kern w:val="0"/>
          <w:sz w:val="34"/>
          <w:szCs w:val="34"/>
          <w:lang w:eastAsia="zh-CN"/>
        </w:rPr>
        <w:t>（二）资金使用情况。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资金使用是否符合自治区财政支农项目及相关财务管理的规定，项目资金是否专款专用、入账手续及凭证完整性、支付进度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是否达标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；地方配套资金落实到位情况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。</w:t>
      </w:r>
    </w:p>
    <w:p w14:paraId="7753D2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3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楷体_GBK" w:hAnsi="方正楷体_GBK" w:eastAsia="方正楷体_GBK" w:cs="方正楷体_GBK"/>
          <w:b/>
          <w:bCs/>
          <w:color w:val="222222"/>
          <w:spacing w:val="0"/>
          <w:kern w:val="0"/>
          <w:sz w:val="34"/>
          <w:szCs w:val="34"/>
          <w:lang w:eastAsia="zh-CN"/>
        </w:rPr>
        <w:t>（三）档案资料情况。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实施方案、管理制度、台账资料、培训记录、年度总结及报表等是否齐全、按规定归档。</w:t>
      </w:r>
    </w:p>
    <w:p w14:paraId="378CD7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right="0" w:firstLine="683" w:firstLineChars="200"/>
        <w:jc w:val="both"/>
        <w:outlineLvl w:val="9"/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</w:pPr>
      <w:r>
        <w:rPr>
          <w:rFonts w:hint="eastAsia" w:ascii="方正楷体_GBK" w:hAnsi="方正楷体_GBK" w:eastAsia="方正楷体_GBK" w:cs="方正楷体_GBK"/>
          <w:b/>
          <w:bCs/>
          <w:color w:val="222222"/>
          <w:spacing w:val="0"/>
          <w:kern w:val="0"/>
          <w:sz w:val="34"/>
          <w:szCs w:val="34"/>
          <w:lang w:eastAsia="zh-CN"/>
        </w:rPr>
        <w:t>（四）项目产出及绩效管理情况。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经济效益、社会效益、生态效益、可持续影响和群众满意度等。</w:t>
      </w:r>
    </w:p>
    <w:p w14:paraId="322BFE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  <w:t>、组织实施</w:t>
      </w:r>
    </w:p>
    <w:p w14:paraId="5BF96E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color w:val="222222"/>
          <w:spacing w:val="0"/>
          <w:kern w:val="0"/>
          <w:sz w:val="34"/>
          <w:szCs w:val="34"/>
        </w:rPr>
        <w:t>202</w:t>
      </w:r>
      <w:r>
        <w:rPr>
          <w:rFonts w:hint="default" w:ascii="Times New Roman" w:hAnsi="Times New Roman" w:eastAsia="方正仿宋_GBK" w:cs="Times New Roman"/>
          <w:color w:val="222222"/>
          <w:spacing w:val="0"/>
          <w:kern w:val="0"/>
          <w:sz w:val="34"/>
          <w:szCs w:val="3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年农机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安全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免费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服务项目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绩效考核验收工作，由</w:t>
      </w:r>
      <w:r>
        <w:rPr>
          <w:rFonts w:hint="eastAsia" w:ascii="方正仿宋_GBK" w:hAnsi="方正仿宋_GBK" w:eastAsia="方正仿宋_GBK" w:cs="方正仿宋_GBK"/>
          <w:b w:val="0"/>
          <w:bCs w:val="0"/>
          <w:color w:val="222222"/>
          <w:spacing w:val="0"/>
          <w:kern w:val="0"/>
          <w:sz w:val="34"/>
          <w:szCs w:val="34"/>
          <w:lang w:val="en-US" w:eastAsia="zh-CN" w:bidi="ar-SA"/>
        </w:rPr>
        <w:t>市</w:t>
      </w:r>
      <w:r>
        <w:rPr>
          <w:rFonts w:hint="eastAsia" w:ascii="方正仿宋_GBK" w:hAnsi="方正仿宋_GBK" w:eastAsia="方正仿宋_GBK" w:cs="方正仿宋_GBK"/>
          <w:b w:val="0"/>
          <w:color w:val="222222"/>
          <w:spacing w:val="0"/>
          <w:kern w:val="0"/>
          <w:sz w:val="34"/>
          <w:szCs w:val="34"/>
          <w:lang w:val="en-US" w:eastAsia="zh-CN" w:bidi="ar-SA"/>
        </w:rPr>
        <w:t>农业技术和农机化推广服务中心、农业综合执法大队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具体负责。</w:t>
      </w:r>
    </w:p>
    <w:p w14:paraId="4A50BF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  <w:t>、检查验收</w:t>
      </w: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  <w:lang w:eastAsia="zh-CN"/>
        </w:rPr>
        <w:t>及时间</w:t>
      </w:r>
    </w:p>
    <w:p w14:paraId="67C2C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项目绩效考核工作以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  <w:lang w:eastAsia="zh-CN"/>
        </w:rPr>
        <w:t>实施单位进行自验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，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农业农村局组织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  <w:lang w:eastAsia="zh-CN"/>
        </w:rPr>
        <w:t>相关单位对项目实施情况进行总体验收，形成验收意见</w:t>
      </w:r>
      <w:r>
        <w:rPr>
          <w:rFonts w:hint="eastAsia" w:ascii="方正仿宋_GBK" w:hAnsi="方正仿宋_GBK" w:eastAsia="方正仿宋_GBK" w:cs="方正仿宋_GBK"/>
          <w:spacing w:val="0"/>
          <w:sz w:val="34"/>
          <w:szCs w:val="34"/>
        </w:rPr>
        <w:t>。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绩效考核验收时间为</w:t>
      </w:r>
      <w:r>
        <w:rPr>
          <w:rFonts w:hint="eastAsia" w:ascii="Times New Roman" w:hAnsi="Times New Roman" w:eastAsia="方正仿宋_GBK" w:cs="Times New Roman"/>
          <w:color w:val="222222"/>
          <w:spacing w:val="0"/>
          <w:kern w:val="0"/>
          <w:sz w:val="34"/>
          <w:szCs w:val="34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月</w:t>
      </w:r>
      <w:r>
        <w:rPr>
          <w:rFonts w:hint="eastAsia" w:ascii="Times New Roman" w:hAnsi="Times New Roman" w:eastAsia="方正仿宋_GBK" w:cs="Times New Roman"/>
          <w:color w:val="222222"/>
          <w:spacing w:val="0"/>
          <w:kern w:val="0"/>
          <w:sz w:val="34"/>
          <w:szCs w:val="34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日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前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val="en-US" w:eastAsia="zh-CN"/>
        </w:rPr>
        <w:t>。</w:t>
      </w:r>
    </w:p>
    <w:p w14:paraId="7BBD45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pacing w:val="0"/>
          <w:sz w:val="34"/>
          <w:szCs w:val="34"/>
        </w:rPr>
        <w:t>、工作程序</w:t>
      </w:r>
    </w:p>
    <w:p w14:paraId="065B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50" w:lineRule="exact"/>
        <w:ind w:left="0" w:leftChars="0" w:right="0" w:firstLine="6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对照自治区农财两厅下达的计划任务指标与实际完成情况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使用情况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推进农机免费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的成效、经验、主要做法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存在的问题和建议等相关内容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，进行验收，按要求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将相关材料装订成册，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eastAsia="zh-CN"/>
        </w:rPr>
        <w:t>并及时上报，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以备自治区考核验收组检查验收。</w:t>
      </w:r>
    </w:p>
    <w:p w14:paraId="53086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50" w:lineRule="exact"/>
        <w:ind w:left="0" w:leftChars="0" w:right="0" w:firstLine="6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val="en-US" w:eastAsia="zh-CN"/>
        </w:rPr>
      </w:pPr>
    </w:p>
    <w:p w14:paraId="36CBE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50" w:lineRule="exact"/>
        <w:ind w:left="0" w:leftChars="0" w:right="0" w:firstLine="68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val="en-US" w:eastAsia="zh-CN"/>
        </w:rPr>
        <w:t>附表：</w:t>
      </w:r>
      <w:r>
        <w:rPr>
          <w:rFonts w:hint="default" w:ascii="Times New Roman" w:hAnsi="Times New Roman" w:eastAsia="方正仿宋_GBK" w:cs="Times New Roman"/>
          <w:color w:val="222222"/>
          <w:spacing w:val="0"/>
          <w:kern w:val="0"/>
          <w:sz w:val="34"/>
          <w:szCs w:val="34"/>
          <w:lang w:val="en-US" w:eastAsia="zh-CN"/>
        </w:rPr>
        <w:t>1.2026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val="en-US" w:eastAsia="zh-CN"/>
        </w:rPr>
        <w:t>年农机免费服务项目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</w:rPr>
        <w:t>绩效考核指标体系</w:t>
      </w:r>
    </w:p>
    <w:p w14:paraId="311E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50" w:lineRule="exact"/>
        <w:ind w:left="0" w:leftChars="0" w:right="0" w:firstLine="1700" w:firstLineChars="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222222"/>
          <w:spacing w:val="0"/>
          <w:kern w:val="0"/>
          <w:sz w:val="34"/>
          <w:szCs w:val="34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222222"/>
          <w:spacing w:val="0"/>
          <w:kern w:val="0"/>
          <w:sz w:val="34"/>
          <w:szCs w:val="34"/>
          <w:lang w:val="en-US" w:eastAsia="zh-CN"/>
        </w:rPr>
        <w:t>项目区域性绩效目标申报表</w:t>
      </w:r>
    </w:p>
    <w:p w14:paraId="6092AC72">
      <w:pPr>
        <w:spacing w:line="351" w:lineRule="auto"/>
        <w:rPr>
          <w:rFonts w:hint="eastAsia" w:ascii="宋体" w:hAnsi="宋体" w:eastAsia="宋体" w:cs="宋体"/>
          <w:sz w:val="32"/>
          <w:szCs w:val="32"/>
        </w:rPr>
      </w:pPr>
    </w:p>
    <w:p w14:paraId="28F6982C">
      <w:pPr>
        <w:spacing w:line="351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206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附表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lang w:val="en-US" w:eastAsia="zh-CN"/>
        </w:rPr>
        <w:t>1</w:t>
      </w:r>
    </w:p>
    <w:p w14:paraId="1DE7E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青铜峡市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2026年农机安全免费服务项目绩效</w:t>
      </w:r>
    </w:p>
    <w:p w14:paraId="1E8DAC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考核指标体系</w:t>
      </w:r>
    </w:p>
    <w:tbl>
      <w:tblPr>
        <w:tblStyle w:val="15"/>
        <w:tblW w:w="526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833"/>
        <w:gridCol w:w="1006"/>
        <w:gridCol w:w="1598"/>
        <w:gridCol w:w="4376"/>
        <w:gridCol w:w="749"/>
      </w:tblGrid>
      <w:tr w14:paraId="6A26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01" w:type="pct"/>
            <w:vAlign w:val="center"/>
          </w:tcPr>
          <w:p w14:paraId="397244A6">
            <w:pPr>
              <w:pStyle w:val="14"/>
              <w:spacing w:before="160" w:line="219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内容</w:t>
            </w:r>
          </w:p>
        </w:tc>
        <w:tc>
          <w:tcPr>
            <w:tcW w:w="447" w:type="pct"/>
            <w:vAlign w:val="center"/>
          </w:tcPr>
          <w:p w14:paraId="292C7466">
            <w:pPr>
              <w:pStyle w:val="14"/>
              <w:spacing w:before="22" w:line="212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一级</w:t>
            </w:r>
          </w:p>
          <w:p w14:paraId="5CB5157C">
            <w:pPr>
              <w:pStyle w:val="14"/>
              <w:spacing w:line="220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指标</w:t>
            </w:r>
          </w:p>
        </w:tc>
        <w:tc>
          <w:tcPr>
            <w:tcW w:w="540" w:type="pct"/>
            <w:vAlign w:val="center"/>
          </w:tcPr>
          <w:p w14:paraId="0CCA77BE">
            <w:pPr>
              <w:pStyle w:val="14"/>
              <w:spacing w:before="22" w:line="221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二级</w:t>
            </w:r>
          </w:p>
          <w:p w14:paraId="426BBDA0">
            <w:pPr>
              <w:pStyle w:val="14"/>
              <w:spacing w:before="10" w:line="220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指标</w:t>
            </w:r>
          </w:p>
        </w:tc>
        <w:tc>
          <w:tcPr>
            <w:tcW w:w="858" w:type="pct"/>
            <w:vAlign w:val="center"/>
          </w:tcPr>
          <w:p w14:paraId="66861BD8">
            <w:pPr>
              <w:pStyle w:val="14"/>
              <w:spacing w:before="12" w:line="221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三级</w:t>
            </w:r>
          </w:p>
          <w:p w14:paraId="4BA41B53">
            <w:pPr>
              <w:pStyle w:val="14"/>
              <w:spacing w:before="20" w:line="220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指标</w:t>
            </w:r>
          </w:p>
        </w:tc>
        <w:tc>
          <w:tcPr>
            <w:tcW w:w="2349" w:type="pct"/>
            <w:vAlign w:val="center"/>
          </w:tcPr>
          <w:p w14:paraId="3BB8E7C5">
            <w:pPr>
              <w:pStyle w:val="14"/>
              <w:spacing w:before="160" w:line="219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考核内容及评分标准</w:t>
            </w:r>
          </w:p>
        </w:tc>
        <w:tc>
          <w:tcPr>
            <w:tcW w:w="402" w:type="pct"/>
            <w:vAlign w:val="center"/>
          </w:tcPr>
          <w:p w14:paraId="7BB9E1FD">
            <w:pPr>
              <w:pStyle w:val="14"/>
              <w:spacing w:before="160" w:line="220" w:lineRule="auto"/>
              <w:jc w:val="center"/>
              <w:rPr>
                <w:rFonts w:hint="eastAsia" w:ascii="黑体" w:hAnsi="黑体" w:eastAsia="黑体" w:cs="黑体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19"/>
                <w:szCs w:val="19"/>
              </w:rPr>
              <w:t>自评分</w:t>
            </w:r>
          </w:p>
        </w:tc>
      </w:tr>
      <w:tr w14:paraId="63DC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01" w:type="pct"/>
            <w:vMerge w:val="restart"/>
            <w:tcBorders>
              <w:bottom w:val="nil"/>
            </w:tcBorders>
            <w:vAlign w:val="center"/>
          </w:tcPr>
          <w:p w14:paraId="57B3AE23">
            <w:pPr>
              <w:pStyle w:val="14"/>
              <w:spacing w:before="62" w:line="225" w:lineRule="auto"/>
              <w:ind w:right="97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项目</w:t>
            </w:r>
          </w:p>
          <w:p w14:paraId="556745EF">
            <w:pPr>
              <w:pStyle w:val="14"/>
              <w:spacing w:before="62" w:line="225" w:lineRule="auto"/>
              <w:ind w:right="97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管理</w:t>
            </w:r>
          </w:p>
          <w:p w14:paraId="2E32CE42">
            <w:pPr>
              <w:pStyle w:val="14"/>
              <w:spacing w:before="62" w:line="225" w:lineRule="auto"/>
              <w:ind w:right="97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8"/>
                <w:szCs w:val="18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8"/>
                <w:szCs w:val="18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47" w:type="pct"/>
            <w:vMerge w:val="restart"/>
            <w:tcBorders>
              <w:bottom w:val="nil"/>
            </w:tcBorders>
            <w:vAlign w:val="center"/>
          </w:tcPr>
          <w:p w14:paraId="15A885B9">
            <w:pPr>
              <w:pStyle w:val="14"/>
              <w:spacing w:before="62" w:line="214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投入</w:t>
            </w:r>
          </w:p>
          <w:p w14:paraId="3FBEFC56">
            <w:pPr>
              <w:pStyle w:val="14"/>
              <w:spacing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540" w:type="pct"/>
            <w:vAlign w:val="center"/>
          </w:tcPr>
          <w:p w14:paraId="12271EA1">
            <w:pPr>
              <w:pStyle w:val="14"/>
              <w:spacing w:before="49" w:line="214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实施方案</w:t>
            </w:r>
          </w:p>
          <w:p w14:paraId="25A10CDA">
            <w:pPr>
              <w:pStyle w:val="14"/>
              <w:spacing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309278C0">
            <w:pPr>
              <w:pStyle w:val="14"/>
              <w:spacing w:before="159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方案可行性</w:t>
            </w:r>
          </w:p>
        </w:tc>
        <w:tc>
          <w:tcPr>
            <w:tcW w:w="2349" w:type="pct"/>
            <w:vAlign w:val="center"/>
          </w:tcPr>
          <w:p w14:paraId="5785F36E">
            <w:pPr>
              <w:pStyle w:val="14"/>
              <w:spacing w:before="28" w:line="229" w:lineRule="auto"/>
              <w:ind w:left="204" w:hanging="189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是否制定方案，成立组织机构；方案内容是否客观实际，能够在项目实施期限内实现。</w:t>
            </w:r>
          </w:p>
        </w:tc>
        <w:tc>
          <w:tcPr>
            <w:tcW w:w="402" w:type="pct"/>
            <w:vAlign w:val="center"/>
          </w:tcPr>
          <w:p w14:paraId="3B806948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31A60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69DDF6EB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  <w:bottom w:val="nil"/>
            </w:tcBorders>
            <w:vAlign w:val="center"/>
          </w:tcPr>
          <w:p w14:paraId="34AD562D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Align w:val="center"/>
          </w:tcPr>
          <w:p w14:paraId="66CCDB3D">
            <w:pPr>
              <w:pStyle w:val="14"/>
              <w:spacing w:before="149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绩效目标</w:t>
            </w:r>
          </w:p>
          <w:p w14:paraId="25803914">
            <w:pPr>
              <w:pStyle w:val="14"/>
              <w:spacing w:before="13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0CF8B9F2">
            <w:pPr>
              <w:pStyle w:val="14"/>
              <w:spacing w:before="269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绩效目标合理性</w:t>
            </w:r>
          </w:p>
        </w:tc>
        <w:tc>
          <w:tcPr>
            <w:tcW w:w="2349" w:type="pct"/>
            <w:vAlign w:val="center"/>
          </w:tcPr>
          <w:p w14:paraId="12C847B8">
            <w:pPr>
              <w:pStyle w:val="14"/>
              <w:spacing w:before="29" w:line="219" w:lineRule="auto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绩效目标是否与项目实施相符；与实施期内任务数或计划数相对应；与预算投入规模、支出内容相匹配。</w:t>
            </w:r>
          </w:p>
        </w:tc>
        <w:tc>
          <w:tcPr>
            <w:tcW w:w="402" w:type="pct"/>
            <w:vAlign w:val="center"/>
          </w:tcPr>
          <w:p w14:paraId="370B9B0A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6789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734FD715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</w:tcBorders>
            <w:vAlign w:val="center"/>
          </w:tcPr>
          <w:p w14:paraId="55580E91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Align w:val="center"/>
          </w:tcPr>
          <w:p w14:paraId="16422074">
            <w:pPr>
              <w:pStyle w:val="14"/>
              <w:spacing w:before="50" w:line="214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资金落实</w:t>
            </w:r>
          </w:p>
          <w:p w14:paraId="45307A8D">
            <w:pPr>
              <w:pStyle w:val="14"/>
              <w:spacing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4D929EED">
            <w:pPr>
              <w:pStyle w:val="14"/>
              <w:spacing w:before="160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资金到位情况</w:t>
            </w:r>
          </w:p>
        </w:tc>
        <w:tc>
          <w:tcPr>
            <w:tcW w:w="2349" w:type="pct"/>
            <w:vAlign w:val="center"/>
          </w:tcPr>
          <w:p w14:paraId="0B54CC3F">
            <w:pPr>
              <w:pStyle w:val="14"/>
              <w:spacing w:before="59" w:line="214" w:lineRule="auto"/>
              <w:ind w:left="94" w:hanging="79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项目资金是否及时足额到位。按实际到位金额/应到位金额*指标分值。</w:t>
            </w:r>
          </w:p>
        </w:tc>
        <w:tc>
          <w:tcPr>
            <w:tcW w:w="402" w:type="pct"/>
            <w:vAlign w:val="center"/>
          </w:tcPr>
          <w:p w14:paraId="26BB82DA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70C9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0357EAD1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restart"/>
            <w:tcBorders>
              <w:bottom w:val="nil"/>
            </w:tcBorders>
            <w:vAlign w:val="center"/>
          </w:tcPr>
          <w:p w14:paraId="12C53A26">
            <w:pPr>
              <w:pStyle w:val="14"/>
              <w:spacing w:before="61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过程</w:t>
            </w:r>
          </w:p>
          <w:p w14:paraId="4716E962">
            <w:pPr>
              <w:pStyle w:val="14"/>
              <w:spacing w:before="13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540" w:type="pct"/>
            <w:vMerge w:val="restart"/>
            <w:tcBorders>
              <w:bottom w:val="nil"/>
            </w:tcBorders>
            <w:vAlign w:val="center"/>
          </w:tcPr>
          <w:p w14:paraId="13EC2E52">
            <w:pPr>
              <w:pStyle w:val="14"/>
              <w:spacing w:before="62" w:line="215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资金管理</w:t>
            </w:r>
          </w:p>
          <w:p w14:paraId="1FC6529A">
            <w:pPr>
              <w:pStyle w:val="14"/>
              <w:spacing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1507115C">
            <w:pPr>
              <w:pStyle w:val="14"/>
              <w:spacing w:before="62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资金使用效率性</w:t>
            </w:r>
          </w:p>
          <w:p w14:paraId="1A9CAAE5">
            <w:pPr>
              <w:pStyle w:val="14"/>
              <w:spacing w:before="5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349" w:type="pct"/>
            <w:vAlign w:val="center"/>
          </w:tcPr>
          <w:p w14:paraId="11384B56">
            <w:pPr>
              <w:pStyle w:val="14"/>
              <w:spacing w:before="38" w:line="217" w:lineRule="auto"/>
              <w:ind w:left="15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支出规模是否与项目预算资金相符，以预算支出完成率为主要考核指标。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预算支出完成率为100%得5分；≥9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19"/>
                <w:szCs w:val="19"/>
              </w:rPr>
              <w:t>5%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得4分，≥90%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分，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≥85%得2分，≥80%得1分。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算支出完成率=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年终执行数/年初预算数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*100%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。</w:t>
            </w:r>
          </w:p>
        </w:tc>
        <w:tc>
          <w:tcPr>
            <w:tcW w:w="402" w:type="pct"/>
            <w:vAlign w:val="center"/>
          </w:tcPr>
          <w:p w14:paraId="49AD4B9D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5081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18605CBB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  <w:bottom w:val="nil"/>
            </w:tcBorders>
            <w:vAlign w:val="center"/>
          </w:tcPr>
          <w:p w14:paraId="0458D7E8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Merge w:val="continue"/>
            <w:tcBorders>
              <w:top w:val="nil"/>
            </w:tcBorders>
            <w:vAlign w:val="center"/>
          </w:tcPr>
          <w:p w14:paraId="1A71BC10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858" w:type="pct"/>
            <w:vAlign w:val="center"/>
          </w:tcPr>
          <w:p w14:paraId="192A50AB">
            <w:pPr>
              <w:pStyle w:val="14"/>
              <w:spacing w:before="62" w:line="215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资金使用规范性</w:t>
            </w:r>
          </w:p>
          <w:p w14:paraId="351F5B7D">
            <w:pPr>
              <w:pStyle w:val="14"/>
              <w:spacing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349" w:type="pct"/>
            <w:vAlign w:val="center"/>
          </w:tcPr>
          <w:p w14:paraId="731F3EB0">
            <w:pPr>
              <w:pStyle w:val="14"/>
              <w:spacing w:before="20" w:line="227" w:lineRule="auto"/>
              <w:ind w:left="15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预算执行规范性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分；事项支出的合规性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分；会计核算规范性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分。未按事项完成进度支付资金，不符合资金管理、财务制度规定，未按规定设专账核算，支出凭证不符合规定的，挪用、截留等情形视具体情况扣分。</w:t>
            </w:r>
          </w:p>
        </w:tc>
        <w:tc>
          <w:tcPr>
            <w:tcW w:w="402" w:type="pct"/>
            <w:vAlign w:val="center"/>
          </w:tcPr>
          <w:p w14:paraId="43860EF3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5B290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6ABE302D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  <w:bottom w:val="nil"/>
            </w:tcBorders>
            <w:vAlign w:val="center"/>
          </w:tcPr>
          <w:p w14:paraId="3EA16109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Merge w:val="restart"/>
            <w:tcBorders>
              <w:bottom w:val="nil"/>
            </w:tcBorders>
            <w:vAlign w:val="center"/>
          </w:tcPr>
          <w:p w14:paraId="070D4D86">
            <w:pPr>
              <w:pStyle w:val="14"/>
              <w:spacing w:before="62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组织管理</w:t>
            </w:r>
          </w:p>
          <w:p w14:paraId="69AB1017">
            <w:pPr>
              <w:pStyle w:val="14"/>
              <w:spacing w:before="25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53431B41">
            <w:pPr>
              <w:pStyle w:val="14"/>
              <w:spacing w:before="62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管理制度健全性</w:t>
            </w:r>
          </w:p>
          <w:p w14:paraId="79A55B8B">
            <w:pPr>
              <w:pStyle w:val="14"/>
              <w:spacing w:before="25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349" w:type="pct"/>
            <w:vAlign w:val="center"/>
          </w:tcPr>
          <w:p w14:paraId="021BA0DF">
            <w:pPr>
              <w:pStyle w:val="14"/>
              <w:spacing w:before="41" w:line="223" w:lineRule="auto"/>
              <w:ind w:left="15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已制定或具有相应的财务管理制度，业务办理符合规范或质量标准的。健全完善、符合标准得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分；基本健全、基本符合标准得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分；不健全、不符合标准得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分。相应欠缺的，酌情扣分。</w:t>
            </w:r>
          </w:p>
        </w:tc>
        <w:tc>
          <w:tcPr>
            <w:tcW w:w="402" w:type="pct"/>
            <w:vAlign w:val="center"/>
          </w:tcPr>
          <w:p w14:paraId="6331C459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78663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7BE2267D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  <w:bottom w:val="nil"/>
            </w:tcBorders>
            <w:vAlign w:val="center"/>
          </w:tcPr>
          <w:p w14:paraId="1EF6791B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Merge w:val="continue"/>
            <w:tcBorders>
              <w:top w:val="nil"/>
              <w:bottom w:val="nil"/>
            </w:tcBorders>
            <w:vAlign w:val="center"/>
          </w:tcPr>
          <w:p w14:paraId="29F737E5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858" w:type="pct"/>
            <w:vAlign w:val="center"/>
          </w:tcPr>
          <w:p w14:paraId="2C74440F">
            <w:pPr>
              <w:pStyle w:val="14"/>
              <w:spacing w:before="163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组织执行有效性</w:t>
            </w:r>
          </w:p>
          <w:p w14:paraId="48CC97BD">
            <w:pPr>
              <w:pStyle w:val="14"/>
              <w:spacing w:before="15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349" w:type="pct"/>
            <w:vAlign w:val="center"/>
          </w:tcPr>
          <w:p w14:paraId="3F4102AF">
            <w:pPr>
              <w:pStyle w:val="14"/>
              <w:spacing w:before="32" w:line="219" w:lineRule="auto"/>
              <w:ind w:left="15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 xml:space="preserve">遵守相关法律法规和业务管理规定的，档案资 料齐全并及时归档的，项目任务已落实的，得 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分。存在问题的视具体情况扣分。</w:t>
            </w:r>
          </w:p>
        </w:tc>
        <w:tc>
          <w:tcPr>
            <w:tcW w:w="402" w:type="pct"/>
            <w:vAlign w:val="center"/>
          </w:tcPr>
          <w:p w14:paraId="3E09F311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643A7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401" w:type="pct"/>
            <w:vMerge w:val="continue"/>
            <w:tcBorders>
              <w:top w:val="nil"/>
            </w:tcBorders>
            <w:vAlign w:val="center"/>
          </w:tcPr>
          <w:p w14:paraId="7106B80D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</w:tcBorders>
            <w:vAlign w:val="center"/>
          </w:tcPr>
          <w:p w14:paraId="46B086C6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Merge w:val="continue"/>
            <w:tcBorders>
              <w:top w:val="nil"/>
            </w:tcBorders>
            <w:vAlign w:val="center"/>
          </w:tcPr>
          <w:p w14:paraId="465656BC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858" w:type="pct"/>
            <w:vAlign w:val="center"/>
          </w:tcPr>
          <w:p w14:paraId="0DF0F710">
            <w:pPr>
              <w:pStyle w:val="14"/>
              <w:spacing w:before="283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监督管理有效性</w:t>
            </w:r>
          </w:p>
          <w:p w14:paraId="66A30003">
            <w:pPr>
              <w:pStyle w:val="14"/>
              <w:spacing w:before="5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349" w:type="pct"/>
            <w:vAlign w:val="center"/>
          </w:tcPr>
          <w:p w14:paraId="5E846368">
            <w:pPr>
              <w:pStyle w:val="14"/>
              <w:spacing w:before="45" w:line="222" w:lineRule="auto"/>
              <w:ind w:left="15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按照年度工作要求，定期对项目实施开展绩效监控、监督管理工作得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分。项目任务和资金执行情况不好的，未定期开展绩效监控的视具体情况扣分。</w:t>
            </w:r>
          </w:p>
        </w:tc>
        <w:tc>
          <w:tcPr>
            <w:tcW w:w="402" w:type="pct"/>
            <w:vAlign w:val="center"/>
          </w:tcPr>
          <w:p w14:paraId="009A67B0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2C10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401" w:type="pct"/>
            <w:vMerge w:val="restart"/>
            <w:tcBorders>
              <w:bottom w:val="nil"/>
            </w:tcBorders>
            <w:vAlign w:val="center"/>
          </w:tcPr>
          <w:p w14:paraId="18310C6F">
            <w:pPr>
              <w:pStyle w:val="14"/>
              <w:spacing w:before="62" w:line="235" w:lineRule="auto"/>
              <w:ind w:right="97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绩效</w:t>
            </w:r>
          </w:p>
          <w:p w14:paraId="58934F2C">
            <w:pPr>
              <w:pStyle w:val="14"/>
              <w:spacing w:before="62" w:line="235" w:lineRule="auto"/>
              <w:ind w:right="97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指标</w:t>
            </w:r>
          </w:p>
          <w:p w14:paraId="39749F37">
            <w:pPr>
              <w:pStyle w:val="14"/>
              <w:spacing w:before="62" w:line="235" w:lineRule="auto"/>
              <w:ind w:right="97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8"/>
                <w:szCs w:val="18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8"/>
                <w:szCs w:val="18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47" w:type="pct"/>
            <w:vMerge w:val="restart"/>
            <w:tcBorders>
              <w:bottom w:val="nil"/>
            </w:tcBorders>
            <w:vAlign w:val="center"/>
          </w:tcPr>
          <w:p w14:paraId="6653FBEF">
            <w:pPr>
              <w:pStyle w:val="14"/>
              <w:spacing w:before="62" w:line="235" w:lineRule="auto"/>
              <w:ind w:right="136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产出</w:t>
            </w:r>
          </w:p>
          <w:p w14:paraId="521BDEC5">
            <w:pPr>
              <w:pStyle w:val="14"/>
              <w:spacing w:before="62" w:line="235" w:lineRule="auto"/>
              <w:ind w:right="136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指标</w:t>
            </w:r>
          </w:p>
          <w:p w14:paraId="1226F5BB">
            <w:pPr>
              <w:pStyle w:val="14"/>
              <w:spacing w:before="62" w:line="235" w:lineRule="auto"/>
              <w:ind w:right="136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540" w:type="pct"/>
            <w:vAlign w:val="center"/>
          </w:tcPr>
          <w:p w14:paraId="76E86906">
            <w:pPr>
              <w:pStyle w:val="14"/>
              <w:spacing w:before="265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数量指标</w:t>
            </w:r>
          </w:p>
          <w:p w14:paraId="77BEBDB6">
            <w:pPr>
              <w:pStyle w:val="14"/>
              <w:spacing w:before="15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44EDA8D6">
            <w:pPr>
              <w:pStyle w:val="14"/>
              <w:spacing w:before="43" w:line="217" w:lineRule="auto"/>
              <w:ind w:left="73" w:right="82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注册上牌、安全</w:t>
            </w:r>
          </w:p>
          <w:p w14:paraId="147CDA83">
            <w:pPr>
              <w:pStyle w:val="14"/>
              <w:spacing w:before="43" w:line="217" w:lineRule="auto"/>
              <w:ind w:left="73" w:right="82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技术检验、驾驶</w:t>
            </w:r>
          </w:p>
          <w:p w14:paraId="0CF83B0E">
            <w:pPr>
              <w:pStyle w:val="14"/>
              <w:spacing w:before="24" w:line="206" w:lineRule="auto"/>
              <w:ind w:left="73" w:right="82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证审验、驾驶操</w:t>
            </w:r>
          </w:p>
          <w:p w14:paraId="7ABE83D5">
            <w:pPr>
              <w:pStyle w:val="14"/>
              <w:spacing w:before="24" w:line="206" w:lineRule="auto"/>
              <w:ind w:left="73" w:right="82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作人员培训数量</w:t>
            </w:r>
          </w:p>
        </w:tc>
        <w:tc>
          <w:tcPr>
            <w:tcW w:w="2349" w:type="pct"/>
            <w:vAlign w:val="center"/>
          </w:tcPr>
          <w:p w14:paraId="37C6867D">
            <w:pPr>
              <w:pStyle w:val="14"/>
              <w:spacing w:before="155" w:line="223" w:lineRule="auto"/>
              <w:ind w:left="114" w:right="167" w:firstLine="40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项指标每项赋分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分，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19"/>
                <w:szCs w:val="19"/>
              </w:rPr>
              <w:t>合计20分。每项完成率为100%得5分；≥95%得4分，≥90%得3分，≥85%得2分，≥80%得1分。</w:t>
            </w:r>
          </w:p>
        </w:tc>
        <w:tc>
          <w:tcPr>
            <w:tcW w:w="402" w:type="pct"/>
            <w:vAlign w:val="center"/>
          </w:tcPr>
          <w:p w14:paraId="42A3BCED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4EA55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0CA1D9DA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  <w:bottom w:val="nil"/>
            </w:tcBorders>
            <w:vAlign w:val="center"/>
          </w:tcPr>
          <w:p w14:paraId="1943ACE0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Align w:val="center"/>
          </w:tcPr>
          <w:p w14:paraId="1BC72528">
            <w:pPr>
              <w:pStyle w:val="14"/>
              <w:spacing w:before="156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质量指标</w:t>
            </w:r>
          </w:p>
          <w:p w14:paraId="029A25D1">
            <w:pPr>
              <w:pStyle w:val="14"/>
              <w:spacing w:before="33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0EC357F5">
            <w:pPr>
              <w:pStyle w:val="14"/>
              <w:spacing w:before="165" w:line="246" w:lineRule="auto"/>
              <w:ind w:left="163" w:right="83" w:hanging="9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符合业务办理流程和工作规范</w:t>
            </w:r>
          </w:p>
        </w:tc>
        <w:tc>
          <w:tcPr>
            <w:tcW w:w="2349" w:type="pct"/>
            <w:vAlign w:val="center"/>
          </w:tcPr>
          <w:p w14:paraId="6A002C34">
            <w:pPr>
              <w:pStyle w:val="14"/>
              <w:spacing w:before="35" w:line="218" w:lineRule="auto"/>
              <w:ind w:left="65" w:right="49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项目实施内容与方案相符，业务办理依法依规，工作要求符合有关规定得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分。不符合要求的视具体情况扣分。</w:t>
            </w:r>
          </w:p>
        </w:tc>
        <w:tc>
          <w:tcPr>
            <w:tcW w:w="402" w:type="pct"/>
            <w:vAlign w:val="center"/>
          </w:tcPr>
          <w:p w14:paraId="357A33E2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5FC74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01" w:type="pct"/>
            <w:vMerge w:val="continue"/>
            <w:tcBorders>
              <w:top w:val="nil"/>
              <w:bottom w:val="nil"/>
            </w:tcBorders>
            <w:vAlign w:val="center"/>
          </w:tcPr>
          <w:p w14:paraId="388AAF06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  <w:bottom w:val="nil"/>
            </w:tcBorders>
            <w:vAlign w:val="center"/>
          </w:tcPr>
          <w:p w14:paraId="13023D5E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Align w:val="center"/>
          </w:tcPr>
          <w:p w14:paraId="623F5549">
            <w:pPr>
              <w:pStyle w:val="14"/>
              <w:spacing w:before="47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时效指标</w:t>
            </w:r>
          </w:p>
          <w:p w14:paraId="277342B8">
            <w:pPr>
              <w:pStyle w:val="14"/>
              <w:spacing w:before="3" w:line="216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48EBB244">
            <w:pPr>
              <w:pStyle w:val="14"/>
              <w:spacing w:before="167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项目完成时限</w:t>
            </w:r>
          </w:p>
        </w:tc>
        <w:tc>
          <w:tcPr>
            <w:tcW w:w="2349" w:type="pct"/>
            <w:vAlign w:val="center"/>
          </w:tcPr>
          <w:p w14:paraId="06F1BA94">
            <w:pPr>
              <w:pStyle w:val="14"/>
              <w:spacing w:before="47" w:line="220" w:lineRule="auto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按本方案实施进度要求完成各阶段工作任务。未完成的视具体情况扣分。</w:t>
            </w:r>
          </w:p>
        </w:tc>
        <w:tc>
          <w:tcPr>
            <w:tcW w:w="402" w:type="pct"/>
            <w:vAlign w:val="center"/>
          </w:tcPr>
          <w:p w14:paraId="74FC5347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  <w:tr w14:paraId="43755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01" w:type="pct"/>
            <w:vMerge w:val="continue"/>
            <w:tcBorders>
              <w:top w:val="nil"/>
            </w:tcBorders>
            <w:vAlign w:val="center"/>
          </w:tcPr>
          <w:p w14:paraId="1CA7E315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</w:tcBorders>
            <w:vAlign w:val="center"/>
          </w:tcPr>
          <w:p w14:paraId="3F252F45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  <w:tc>
          <w:tcPr>
            <w:tcW w:w="540" w:type="pct"/>
            <w:vAlign w:val="center"/>
          </w:tcPr>
          <w:p w14:paraId="5A5AECD3">
            <w:pPr>
              <w:pStyle w:val="14"/>
              <w:spacing w:before="55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成本指标</w:t>
            </w:r>
          </w:p>
          <w:p w14:paraId="62FA82DC">
            <w:pPr>
              <w:pStyle w:val="14"/>
              <w:spacing w:before="15" w:line="201" w:lineRule="auto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8" w:type="pct"/>
            <w:vAlign w:val="center"/>
          </w:tcPr>
          <w:p w14:paraId="7EAC3828">
            <w:pPr>
              <w:pStyle w:val="14"/>
              <w:spacing w:before="57" w:line="217" w:lineRule="auto"/>
              <w:ind w:right="83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严格控制在年初</w:t>
            </w:r>
          </w:p>
          <w:p w14:paraId="0141E311">
            <w:pPr>
              <w:pStyle w:val="14"/>
              <w:spacing w:before="57" w:line="217" w:lineRule="auto"/>
              <w:ind w:right="83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批复预算以内</w:t>
            </w:r>
          </w:p>
        </w:tc>
        <w:tc>
          <w:tcPr>
            <w:tcW w:w="2349" w:type="pct"/>
            <w:vAlign w:val="center"/>
          </w:tcPr>
          <w:p w14:paraId="6402F5F7">
            <w:pPr>
              <w:pStyle w:val="14"/>
              <w:spacing w:before="55" w:line="217" w:lineRule="auto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项目实施成本在预算范围内，且成本属于合理范围得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19"/>
                <w:szCs w:val="19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19"/>
                <w:szCs w:val="19"/>
              </w:rPr>
              <w:t>分。不合理的视具体情况扣分。</w:t>
            </w:r>
          </w:p>
        </w:tc>
        <w:tc>
          <w:tcPr>
            <w:tcW w:w="402" w:type="pct"/>
            <w:vAlign w:val="center"/>
          </w:tcPr>
          <w:p w14:paraId="68F6D3E3">
            <w:pPr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</w:rPr>
            </w:pPr>
          </w:p>
        </w:tc>
      </w:tr>
    </w:tbl>
    <w:p w14:paraId="2FAA4D96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2098" w:right="1474" w:bottom="1984" w:left="1587" w:header="1134" w:footer="1134" w:gutter="0"/>
          <w:pgNumType w:fmt="decimal"/>
          <w:cols w:space="720" w:num="1"/>
        </w:sectPr>
      </w:pPr>
    </w:p>
    <w:p w14:paraId="7C0F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757574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/>
        </w:rPr>
        <w:t>自治区财政支农项目区域性绩效目标申报表</w:t>
      </w:r>
    </w:p>
    <w:p w14:paraId="79ECE99D">
      <w:pPr>
        <w:widowControl w:val="0"/>
        <w:wordWrap/>
        <w:autoSpaceDE w:val="0"/>
        <w:autoSpaceDN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年度）</w:t>
      </w:r>
    </w:p>
    <w:tbl>
      <w:tblPr>
        <w:tblStyle w:val="9"/>
        <w:tblW w:w="9479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66"/>
        <w:gridCol w:w="222"/>
        <w:gridCol w:w="872"/>
        <w:gridCol w:w="1364"/>
        <w:gridCol w:w="1680"/>
        <w:gridCol w:w="1809"/>
        <w:gridCol w:w="1296"/>
      </w:tblGrid>
      <w:tr w14:paraId="5FCF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1DCA6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专项名称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6FE08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青铜峡市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年农机安全免费服务项目</w:t>
            </w:r>
          </w:p>
        </w:tc>
      </w:tr>
      <w:tr w14:paraId="1695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D08ED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自治区主管部门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4C13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 xml:space="preserve">自治区农业农村厅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2493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专项实施期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2D6CB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方正仿宋_GBK" w:cs="Times New Roman"/>
                <w:kern w:val="0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 xml:space="preserve">月 </w:t>
            </w:r>
          </w:p>
        </w:tc>
      </w:tr>
      <w:tr w14:paraId="687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08037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市县财政部门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24108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 xml:space="preserve">青铜峡市财政局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AE0F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0"/>
                <w:szCs w:val="20"/>
              </w:rPr>
              <w:t>市县主管部门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E3F92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 xml:space="preserve">青铜峡市农业农村局 </w:t>
            </w:r>
          </w:p>
        </w:tc>
      </w:tr>
      <w:tr w14:paraId="72D9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4DB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资金</w:t>
            </w:r>
          </w:p>
          <w:p w14:paraId="1E02104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情况</w:t>
            </w:r>
          </w:p>
          <w:p w14:paraId="00A69FF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25F0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 xml:space="preserve">  年度金额：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5DBB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 w14:paraId="1B70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5B2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220F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 xml:space="preserve">    其中：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中央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补助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36C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94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32D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A64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自治区补助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DE9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 w14:paraId="1D5E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D17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84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3619F"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完成拖拉机和联合收割机免费注册上牌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120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台、安全技术检验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台次，审验驾驶证（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换证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人次，培训驾驶操作人员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人次。</w:t>
            </w:r>
          </w:p>
        </w:tc>
      </w:tr>
      <w:tr w14:paraId="6314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7246B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绩</w:t>
            </w:r>
          </w:p>
          <w:p w14:paraId="5609006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效</w:t>
            </w:r>
          </w:p>
          <w:p w14:paraId="62842C8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AB6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9DE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437E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4CF4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指标值</w:t>
            </w:r>
          </w:p>
        </w:tc>
      </w:tr>
      <w:tr w14:paraId="70BE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9BD0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D53C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09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48A6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CF48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拖拉机和联合收割机注册上牌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（台）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9023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</w:tr>
      <w:tr w14:paraId="6A11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4850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E1EF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575B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928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拖拉机和联合收割机安全技术检验（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台次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445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</w:tr>
      <w:tr w14:paraId="19A3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4019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33F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6B3B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FAF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拖拉机、联合收割机驾驶员审验（驾驶证检查和换证）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（人次）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74C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</w:tr>
      <w:tr w14:paraId="29EF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2A48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CAA1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510E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A7B3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农机驾驶操作人员培训（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含非牌证管理农业机械的操作人员）（人次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F69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</w:tr>
      <w:tr w14:paraId="6468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B1AA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9E9D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60C3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C9E5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发生道路外较大及以上农机事故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010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</w:tr>
      <w:tr w14:paraId="1F8F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DDA7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1CA2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61AC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ACA5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作业任务完成时限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1442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日前</w:t>
            </w:r>
          </w:p>
        </w:tc>
      </w:tr>
      <w:tr w14:paraId="517C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6A36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4819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001DF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39A99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农机牌证管理、安全监管服务、队伍能力建设、农机监理装备和信息化建设、安全基础能力建设等相关支出。（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F45F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400" w:firstLineChars="20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</w:tr>
      <w:tr w14:paraId="4A23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F958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EA9A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6AECF8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经济效益</w:t>
            </w:r>
          </w:p>
          <w:p w14:paraId="60C460E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A3940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农民经济负担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7E3B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切实降低</w:t>
            </w:r>
          </w:p>
        </w:tc>
      </w:tr>
      <w:tr w14:paraId="538E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6CAB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ED0F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2BAF6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社会效益</w:t>
            </w:r>
          </w:p>
          <w:p w14:paraId="771ABDE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255F7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农民群众生命财产安全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D4E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有效保障</w:t>
            </w:r>
          </w:p>
        </w:tc>
      </w:tr>
      <w:tr w14:paraId="6D89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7764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EEB7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CA5E9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生态效益</w:t>
            </w:r>
          </w:p>
          <w:p w14:paraId="36DBFDD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34DF1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减少废水、废气、废油排放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12DE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稳步改善</w:t>
            </w:r>
          </w:p>
        </w:tc>
      </w:tr>
      <w:tr w14:paraId="2E97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218D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4C2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917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804B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项目持续发挥作用的期限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EC2A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长期</w:t>
            </w:r>
          </w:p>
        </w:tc>
      </w:tr>
      <w:tr w14:paraId="4A43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79F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4EFF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满意度</w:t>
            </w:r>
          </w:p>
          <w:p w14:paraId="340854D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8E30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满意度</w:t>
            </w:r>
          </w:p>
          <w:p w14:paraId="3C8ADDD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</w:rPr>
              <w:t>指标</w:t>
            </w:r>
          </w:p>
        </w:tc>
        <w:tc>
          <w:tcPr>
            <w:tcW w:w="4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301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公众和社会满意度（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ECC8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</w:tr>
    </w:tbl>
    <w:p w14:paraId="0F34F0C8">
      <w:bookmarkStart w:id="0" w:name="_GoBack"/>
      <w:bookmarkEnd w:id="0"/>
    </w:p>
    <w:sectPr>
      <w:footerReference r:id="rId4" w:type="default"/>
      <w:pgSz w:w="11900" w:h="16800"/>
      <w:pgMar w:top="2098" w:right="1474" w:bottom="1984" w:left="1587" w:header="1134" w:footer="1134" w:gutter="0"/>
      <w:pgNumType w:fmt="decimal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C62">
    <w:pPr>
      <w:pStyle w:val="3"/>
      <w:spacing w:line="235" w:lineRule="auto"/>
      <w:ind w:left="7795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6C46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6C46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F4CF">
    <w:pPr>
      <w:tabs>
        <w:tab w:val="center" w:pos="4440"/>
      </w:tabs>
      <w:kinsoku w:val="0"/>
      <w:overflowPunct w:val="0"/>
      <w:spacing w:line="200" w:lineRule="exact"/>
      <w:rPr>
        <w:rFonts w:hint="default" w:eastAsia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488C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488C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0CBF"/>
    <w:rsid w:val="04185410"/>
    <w:rsid w:val="0A79472F"/>
    <w:rsid w:val="0AF0505E"/>
    <w:rsid w:val="0FBBAE5D"/>
    <w:rsid w:val="12064AFA"/>
    <w:rsid w:val="12FB3F33"/>
    <w:rsid w:val="14B06F9F"/>
    <w:rsid w:val="15BD5E17"/>
    <w:rsid w:val="17081314"/>
    <w:rsid w:val="18BA4890"/>
    <w:rsid w:val="1AE87493"/>
    <w:rsid w:val="1F776391"/>
    <w:rsid w:val="1FFF031F"/>
    <w:rsid w:val="218E2416"/>
    <w:rsid w:val="26C708A4"/>
    <w:rsid w:val="27042C3A"/>
    <w:rsid w:val="2B911481"/>
    <w:rsid w:val="31B2438E"/>
    <w:rsid w:val="33437504"/>
    <w:rsid w:val="34AC732B"/>
    <w:rsid w:val="37BC7880"/>
    <w:rsid w:val="37DB78CB"/>
    <w:rsid w:val="39D864CC"/>
    <w:rsid w:val="3A2C4CBA"/>
    <w:rsid w:val="3B163750"/>
    <w:rsid w:val="3FEF0A9B"/>
    <w:rsid w:val="40DB5220"/>
    <w:rsid w:val="43301127"/>
    <w:rsid w:val="4597548E"/>
    <w:rsid w:val="46454EEA"/>
    <w:rsid w:val="4BB40B47"/>
    <w:rsid w:val="4F0516BA"/>
    <w:rsid w:val="52C06024"/>
    <w:rsid w:val="54271FE7"/>
    <w:rsid w:val="580A2017"/>
    <w:rsid w:val="59AF6990"/>
    <w:rsid w:val="5A2666EF"/>
    <w:rsid w:val="5B9242D5"/>
    <w:rsid w:val="5E14191A"/>
    <w:rsid w:val="5FBF8217"/>
    <w:rsid w:val="610B3965"/>
    <w:rsid w:val="61330309"/>
    <w:rsid w:val="6270558C"/>
    <w:rsid w:val="67F325A0"/>
    <w:rsid w:val="79E21A8A"/>
    <w:rsid w:val="7B43CB30"/>
    <w:rsid w:val="7C35247C"/>
    <w:rsid w:val="7DB7978D"/>
    <w:rsid w:val="7FAFF394"/>
    <w:rsid w:val="A79B33D1"/>
    <w:rsid w:val="A7DE6277"/>
    <w:rsid w:val="B1FA8727"/>
    <w:rsid w:val="BFE730EE"/>
    <w:rsid w:val="CFFD3EAB"/>
    <w:rsid w:val="D9DB4431"/>
    <w:rsid w:val="DA8745BC"/>
    <w:rsid w:val="E5EBC799"/>
    <w:rsid w:val="E7B7FAB3"/>
    <w:rsid w:val="EBF9A6A0"/>
    <w:rsid w:val="F7FBFA82"/>
    <w:rsid w:val="FB531E6D"/>
    <w:rsid w:val="FDBCD848"/>
    <w:rsid w:val="FF226306"/>
    <w:rsid w:val="FFFF3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00" w:lineRule="auto"/>
      <w:ind w:firstLine="420"/>
    </w:pPr>
    <w:rPr>
      <w:sz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customStyle="1" w:styleId="11">
    <w:name w:val="No Spacing"/>
    <w:unhideWhenUsed/>
    <w:qFormat/>
    <w:uiPriority w:val="1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customStyle="1" w:styleId="1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3571</Words>
  <Characters>3646</Characters>
  <Lines>0</Lines>
  <Paragraphs>0</Paragraphs>
  <TotalTime>5</TotalTime>
  <ScaleCrop>false</ScaleCrop>
  <LinksUpToDate>false</LinksUpToDate>
  <CharactersWithSpaces>3783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2025-02-10T01:45:00Z</dcterms:created>
  <dc:creator>Administrator</dc:creator>
  <cp:lastModifiedBy>qtxs</cp:lastModifiedBy>
  <cp:lastPrinted>2026-02-10T06:49:00Z</cp:lastPrinted>
  <dcterms:modified xsi:type="dcterms:W3CDTF">2026-02-09T16:47:47Z</dcterms:modified>
  <dc:title>青铜峡市农业农村局发文稿纸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794A048413429A54AE8289694277FDD0_43</vt:lpwstr>
  </property>
  <property fmtid="{D5CDD505-2E9C-101B-9397-08002B2CF9AE}" pid="4" name="KSOTemplateDocerSaveRecord">
    <vt:lpwstr>eyJoZGlkIjoiZDc0M2Q2Mzg4Y2FmNjZmMzZjYzZjZjI4NjI3ZjgwYTMiLCJ1c2VySWQiOiI1MTE1NTE1MTAifQ==</vt:lpwstr>
  </property>
</Properties>
</file>