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1EB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left"/>
        <w:textAlignment w:val="auto"/>
        <w:rPr>
          <w:rFonts w:hint="eastAsia" w:ascii="方正仿宋_GBK" w:hAnsi="方正仿宋_GBK" w:eastAsia="方正仿宋_GBK" w:cs="方正仿宋_GBK"/>
          <w:color w:val="000000"/>
          <w:kern w:val="0"/>
          <w:sz w:val="32"/>
          <w:szCs w:val="32"/>
          <w:lang w:val="en-US" w:eastAsia="zh-CN"/>
        </w:rPr>
      </w:pPr>
      <w:bookmarkStart w:id="1" w:name="_GoBack"/>
      <w:r>
        <w:rPr>
          <w:rFonts w:hint="eastAsia" w:ascii="方正仿宋_GBK" w:hAnsi="方正仿宋_GBK" w:eastAsia="方正仿宋_GBK" w:cs="方正仿宋_GBK"/>
          <w:color w:val="000000"/>
          <w:kern w:val="0"/>
          <w:sz w:val="32"/>
          <w:szCs w:val="32"/>
          <w:lang w:val="en-US" w:eastAsia="zh-CN"/>
        </w:rPr>
        <w:t>附件2：</w:t>
      </w:r>
    </w:p>
    <w:p w14:paraId="6638C9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_GBK" w:hAnsi="方正小标宋_GBK" w:eastAsia="方正小标宋_GBK" w:cs="方正小标宋_GBK"/>
          <w:color w:val="000000"/>
          <w:kern w:val="0"/>
          <w:sz w:val="40"/>
          <w:szCs w:val="40"/>
          <w:lang w:val="en-US" w:eastAsia="zh-CN"/>
        </w:rPr>
      </w:pPr>
      <w:r>
        <w:rPr>
          <w:rFonts w:hint="eastAsia" w:ascii="方正小标宋_GBK" w:hAnsi="方正小标宋_GBK" w:eastAsia="方正小标宋_GBK" w:cs="方正小标宋_GBK"/>
          <w:color w:val="000000"/>
          <w:kern w:val="0"/>
          <w:sz w:val="40"/>
          <w:szCs w:val="40"/>
          <w:lang w:val="en-US" w:eastAsia="zh-CN"/>
        </w:rPr>
        <w:t>青铜峡市2025年奶业生产能力提升整县推进</w:t>
      </w:r>
    </w:p>
    <w:p w14:paraId="19202F8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_GBK" w:hAnsi="方正小标宋_GBK" w:eastAsia="方正小标宋_GBK" w:cs="方正小标宋_GBK"/>
          <w:color w:val="000000"/>
          <w:kern w:val="0"/>
          <w:sz w:val="40"/>
          <w:szCs w:val="40"/>
          <w:lang w:eastAsia="zh-CN"/>
        </w:rPr>
      </w:pPr>
      <w:r>
        <w:rPr>
          <w:rFonts w:hint="eastAsia" w:ascii="方正小标宋_GBK" w:hAnsi="方正小标宋_GBK" w:eastAsia="方正小标宋_GBK" w:cs="方正小标宋_GBK"/>
          <w:color w:val="000000"/>
          <w:kern w:val="0"/>
          <w:sz w:val="40"/>
          <w:szCs w:val="40"/>
          <w:lang w:eastAsia="zh-CN"/>
        </w:rPr>
        <w:t>项目绩效考核方案</w:t>
      </w:r>
    </w:p>
    <w:bookmarkEnd w:id="1"/>
    <w:p w14:paraId="15099F72">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firstLine="422" w:firstLineChars="200"/>
        <w:jc w:val="both"/>
        <w:textAlignment w:val="auto"/>
        <w:rPr>
          <w:rFonts w:hint="default" w:ascii="Times New Roman" w:hAnsi="Times New Roman" w:cs="Times New Roman"/>
          <w:lang w:eastAsia="zh-CN"/>
        </w:rPr>
      </w:pPr>
    </w:p>
    <w:p w14:paraId="0E21579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bidi="ar-SA"/>
        </w:rPr>
      </w:pPr>
      <w:r>
        <w:rPr>
          <w:rFonts w:hint="eastAsia" w:ascii="方正仿宋_GBK" w:hAnsi="方正仿宋_GBK" w:eastAsia="方正仿宋_GBK" w:cs="方正仿宋_GBK"/>
          <w:b w:val="0"/>
          <w:bCs w:val="0"/>
          <w:color w:val="000000"/>
          <w:kern w:val="0"/>
          <w:sz w:val="32"/>
          <w:szCs w:val="32"/>
          <w:lang w:val="en-US" w:eastAsia="zh-CN" w:bidi="ar-SA"/>
        </w:rPr>
        <w:t>按照自治区关于开展农业财政项目绩效考核工作的有关要求和《</w:t>
      </w:r>
      <w:bookmarkStart w:id="0" w:name="OLE_LINK6"/>
      <w:r>
        <w:rPr>
          <w:rFonts w:hint="eastAsia" w:ascii="方正仿宋_GBK" w:hAnsi="方正仿宋_GBK" w:eastAsia="方正仿宋_GBK" w:cs="方正仿宋_GBK"/>
          <w:b w:val="0"/>
          <w:bCs w:val="0"/>
          <w:color w:val="000000"/>
          <w:kern w:val="0"/>
          <w:sz w:val="32"/>
          <w:szCs w:val="32"/>
          <w:lang w:val="en-US" w:eastAsia="zh-CN" w:bidi="ar-SA"/>
        </w:rPr>
        <w:t>青铜峡市2025奶业生产能力提升整县推进项目实施方案</w:t>
      </w:r>
      <w:bookmarkEnd w:id="0"/>
      <w:r>
        <w:rPr>
          <w:rFonts w:hint="eastAsia" w:ascii="方正仿宋_GBK" w:hAnsi="方正仿宋_GBK" w:eastAsia="方正仿宋_GBK" w:cs="方正仿宋_GBK"/>
          <w:b w:val="0"/>
          <w:bCs w:val="0"/>
          <w:color w:val="000000"/>
          <w:kern w:val="0"/>
          <w:sz w:val="32"/>
          <w:szCs w:val="32"/>
          <w:lang w:val="en-US" w:eastAsia="zh-CN" w:bidi="ar-SA"/>
        </w:rPr>
        <w:t>》，为加强对奶业生产能力提升整县推进项目的监督管理，确保项目实施效果，建立健全激励约束机制，制定本考核方案。</w:t>
      </w:r>
    </w:p>
    <w:p w14:paraId="7FDE2C93">
      <w:pPr>
        <w:keepNext w:val="0"/>
        <w:keepLines w:val="0"/>
        <w:pageBreakBefore w:val="0"/>
        <w:widowControl w:val="0"/>
        <w:kinsoku/>
        <w:wordWrap/>
        <w:overflowPunct/>
        <w:topLinePunct w:val="0"/>
        <w:autoSpaceDE/>
        <w:autoSpaceDN/>
        <w:bidi w:val="0"/>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一、评价考核对象与指标</w:t>
      </w:r>
    </w:p>
    <w:p w14:paraId="59A79CEB">
      <w:pPr>
        <w:keepNext w:val="0"/>
        <w:keepLines w:val="0"/>
        <w:pageBreakBefore w:val="0"/>
        <w:widowControl w:val="0"/>
        <w:kinsoku/>
        <w:wordWrap/>
        <w:overflowPunct/>
        <w:topLinePunct w:val="0"/>
        <w:autoSpaceDE/>
        <w:autoSpaceDN/>
        <w:bidi w:val="0"/>
        <w:spacing w:beforeAutospacing="0" w:afterAutospacing="0" w:line="560" w:lineRule="exact"/>
        <w:ind w:left="0" w:leftChars="0" w:right="0" w:firstLine="640"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r>
        <w:rPr>
          <w:rFonts w:hint="default" w:ascii="方正仿宋_GBK" w:hAnsi="方正仿宋_GBK" w:eastAsia="方正仿宋_GBK" w:cs="方正仿宋_GBK"/>
          <w:b w:val="0"/>
          <w:bCs w:val="0"/>
          <w:color w:val="000000"/>
          <w:kern w:val="0"/>
          <w:sz w:val="32"/>
          <w:szCs w:val="32"/>
          <w:lang w:val="en-US" w:eastAsia="zh-CN" w:bidi="ar-SA"/>
        </w:rPr>
        <w:t>依据《</w:t>
      </w:r>
      <w:r>
        <w:rPr>
          <w:rFonts w:hint="eastAsia" w:ascii="方正仿宋_GBK" w:hAnsi="方正仿宋_GBK" w:eastAsia="方正仿宋_GBK" w:cs="方正仿宋_GBK"/>
          <w:b w:val="0"/>
          <w:bCs w:val="0"/>
          <w:color w:val="000000"/>
          <w:kern w:val="0"/>
          <w:sz w:val="32"/>
          <w:szCs w:val="32"/>
          <w:lang w:val="en-US" w:eastAsia="zh-CN" w:bidi="ar-SA"/>
        </w:rPr>
        <w:t>青铜峡市2025</w:t>
      </w:r>
      <w:r>
        <w:rPr>
          <w:rFonts w:hint="default" w:ascii="方正仿宋_GBK" w:hAnsi="方正仿宋_GBK" w:eastAsia="方正仿宋_GBK" w:cs="方正仿宋_GBK"/>
          <w:b w:val="0"/>
          <w:bCs w:val="0"/>
          <w:color w:val="000000"/>
          <w:kern w:val="0"/>
          <w:sz w:val="32"/>
          <w:szCs w:val="32"/>
          <w:lang w:val="en-US" w:eastAsia="zh-CN" w:bidi="ar-SA"/>
        </w:rPr>
        <w:t>奶业生产能力提升整县推进项目实施方案》要求，对</w:t>
      </w:r>
      <w:r>
        <w:rPr>
          <w:rFonts w:hint="eastAsia" w:ascii="方正仿宋_GBK" w:hAnsi="方正仿宋_GBK" w:eastAsia="方正仿宋_GBK" w:cs="方正仿宋_GBK"/>
          <w:b w:val="0"/>
          <w:bCs w:val="0"/>
          <w:color w:val="000000"/>
          <w:kern w:val="0"/>
          <w:sz w:val="32"/>
          <w:szCs w:val="32"/>
          <w:lang w:val="en-US" w:eastAsia="zh-CN" w:bidi="ar-SA"/>
        </w:rPr>
        <w:t>青铜峡市</w:t>
      </w:r>
      <w:r>
        <w:rPr>
          <w:rFonts w:hint="default" w:ascii="方正仿宋_GBK" w:hAnsi="方正仿宋_GBK" w:eastAsia="方正仿宋_GBK" w:cs="方正仿宋_GBK"/>
          <w:b w:val="0"/>
          <w:bCs w:val="0"/>
          <w:color w:val="000000"/>
          <w:kern w:val="0"/>
          <w:sz w:val="32"/>
          <w:szCs w:val="32"/>
          <w:lang w:val="en-US" w:eastAsia="zh-CN" w:bidi="ar-SA"/>
        </w:rPr>
        <w:t>奶业生产能力提升整县推进项目工作进展、目标完成情况、资金使用及项目建设效益进行考核。根据实际情况，评价考核共设立三级指标，一级指标</w:t>
      </w:r>
      <w:r>
        <w:rPr>
          <w:rFonts w:hint="eastAsia" w:ascii="方正仿宋_GBK" w:hAnsi="方正仿宋_GBK" w:eastAsia="方正仿宋_GBK" w:cs="方正仿宋_GBK"/>
          <w:b w:val="0"/>
          <w:bCs w:val="0"/>
          <w:color w:val="000000"/>
          <w:kern w:val="0"/>
          <w:sz w:val="32"/>
          <w:szCs w:val="32"/>
          <w:lang w:val="en-US" w:eastAsia="zh-CN" w:bidi="ar-SA"/>
        </w:rPr>
        <w:t>3</w:t>
      </w:r>
      <w:r>
        <w:rPr>
          <w:rFonts w:hint="default" w:ascii="方正仿宋_GBK" w:hAnsi="方正仿宋_GBK" w:eastAsia="方正仿宋_GBK" w:cs="方正仿宋_GBK"/>
          <w:b w:val="0"/>
          <w:bCs w:val="0"/>
          <w:color w:val="000000"/>
          <w:kern w:val="0"/>
          <w:sz w:val="32"/>
          <w:szCs w:val="32"/>
          <w:lang w:val="en-US" w:eastAsia="zh-CN" w:bidi="ar-SA"/>
        </w:rPr>
        <w:t>个，二级指标</w:t>
      </w:r>
      <w:r>
        <w:rPr>
          <w:rFonts w:hint="eastAsia" w:ascii="方正仿宋_GBK" w:hAnsi="方正仿宋_GBK" w:eastAsia="方正仿宋_GBK" w:cs="方正仿宋_GBK"/>
          <w:b w:val="0"/>
          <w:bCs w:val="0"/>
          <w:color w:val="000000"/>
          <w:kern w:val="0"/>
          <w:sz w:val="32"/>
          <w:szCs w:val="32"/>
          <w:lang w:val="en-US" w:eastAsia="zh-CN" w:bidi="ar-SA"/>
        </w:rPr>
        <w:t>6</w:t>
      </w:r>
      <w:r>
        <w:rPr>
          <w:rFonts w:hint="default" w:ascii="方正仿宋_GBK" w:hAnsi="方正仿宋_GBK" w:eastAsia="方正仿宋_GBK" w:cs="方正仿宋_GBK"/>
          <w:b w:val="0"/>
          <w:bCs w:val="0"/>
          <w:color w:val="000000"/>
          <w:kern w:val="0"/>
          <w:sz w:val="32"/>
          <w:szCs w:val="32"/>
          <w:lang w:val="en-US" w:eastAsia="zh-CN" w:bidi="ar-SA"/>
        </w:rPr>
        <w:t>个，三级指标1</w:t>
      </w:r>
      <w:r>
        <w:rPr>
          <w:rFonts w:hint="eastAsia" w:ascii="方正仿宋_GBK" w:hAnsi="方正仿宋_GBK" w:eastAsia="方正仿宋_GBK" w:cs="方正仿宋_GBK"/>
          <w:b w:val="0"/>
          <w:bCs w:val="0"/>
          <w:color w:val="000000"/>
          <w:kern w:val="0"/>
          <w:sz w:val="32"/>
          <w:szCs w:val="32"/>
          <w:lang w:val="en-US" w:eastAsia="zh-CN" w:bidi="ar-SA"/>
        </w:rPr>
        <w:t>5</w:t>
      </w:r>
      <w:r>
        <w:rPr>
          <w:rFonts w:hint="default" w:ascii="方正仿宋_GBK" w:hAnsi="方正仿宋_GBK" w:eastAsia="方正仿宋_GBK" w:cs="方正仿宋_GBK"/>
          <w:b w:val="0"/>
          <w:bCs w:val="0"/>
          <w:color w:val="000000"/>
          <w:kern w:val="0"/>
          <w:sz w:val="32"/>
          <w:szCs w:val="32"/>
          <w:lang w:val="en-US" w:eastAsia="zh-CN" w:bidi="ar-SA"/>
        </w:rPr>
        <w:t>个。</w:t>
      </w:r>
    </w:p>
    <w:p w14:paraId="515D2CF4">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二、绩效评价考核</w:t>
      </w:r>
    </w:p>
    <w:p w14:paraId="4332EF54">
      <w:pPr>
        <w:keepNext w:val="0"/>
        <w:keepLines w:val="0"/>
        <w:pageBreakBefore w:val="0"/>
        <w:widowControl w:val="0"/>
        <w:kinsoku/>
        <w:wordWrap/>
        <w:overflowPunct/>
        <w:topLinePunct w:val="0"/>
        <w:autoSpaceDE/>
        <w:autoSpaceDN/>
        <w:bidi w:val="0"/>
        <w:spacing w:beforeAutospacing="0" w:afterAutospacing="0" w:line="560" w:lineRule="exact"/>
        <w:ind w:left="0" w:leftChars="0" w:right="0" w:firstLine="640"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r>
        <w:rPr>
          <w:rFonts w:hint="default" w:ascii="方正仿宋_GBK" w:hAnsi="方正仿宋_GBK" w:eastAsia="方正仿宋_GBK" w:cs="方正仿宋_GBK"/>
          <w:b w:val="0"/>
          <w:bCs w:val="0"/>
          <w:color w:val="000000"/>
          <w:kern w:val="0"/>
          <w:sz w:val="32"/>
          <w:szCs w:val="32"/>
          <w:lang w:val="en-US" w:eastAsia="zh-CN" w:bidi="ar-SA"/>
        </w:rPr>
        <w:t>绩效评价以目标任务为导向，按照突出重点、注重实效、客观公平的原则，采取定量评价与定性评价结合、项目实施单位自评与现场考核验收相结合的方式进行，将企业自筹资金到位情况纳入绩效考核指标体系。</w:t>
      </w:r>
    </w:p>
    <w:p w14:paraId="6FAEFB92">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right="0" w:firstLine="643"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r>
        <w:rPr>
          <w:rFonts w:hint="eastAsia" w:ascii="楷体" w:hAnsi="楷体" w:eastAsia="方正楷体_GBK" w:cs="楷体"/>
          <w:b/>
          <w:bCs/>
          <w:sz w:val="32"/>
          <w:szCs w:val="32"/>
          <w:lang w:eastAsia="zh-CN"/>
        </w:rPr>
        <w:t>（一）</w:t>
      </w:r>
      <w:r>
        <w:rPr>
          <w:rFonts w:hint="eastAsia" w:ascii="楷体" w:hAnsi="楷体" w:eastAsia="方正楷体_GBK" w:cs="楷体"/>
          <w:b/>
          <w:bCs/>
          <w:sz w:val="32"/>
          <w:szCs w:val="32"/>
        </w:rPr>
        <w:t>自查评分</w:t>
      </w:r>
      <w:r>
        <w:rPr>
          <w:rFonts w:hint="eastAsia" w:ascii="楷体" w:hAnsi="楷体" w:eastAsia="方正楷体_GBK" w:cs="楷体"/>
          <w:b/>
          <w:bCs/>
          <w:sz w:val="32"/>
          <w:szCs w:val="32"/>
          <w:lang w:eastAsia="zh-CN"/>
        </w:rPr>
        <w:t>。</w:t>
      </w:r>
      <w:r>
        <w:rPr>
          <w:rFonts w:hint="default" w:ascii="方正仿宋_GBK" w:hAnsi="方正仿宋_GBK" w:eastAsia="方正仿宋_GBK" w:cs="方正仿宋_GBK"/>
          <w:b w:val="0"/>
          <w:bCs w:val="0"/>
          <w:color w:val="000000"/>
          <w:kern w:val="0"/>
          <w:sz w:val="32"/>
          <w:szCs w:val="32"/>
          <w:lang w:val="en-US" w:eastAsia="zh-CN" w:bidi="ar-SA"/>
        </w:rPr>
        <w:t>各项目实施单位按照项目实施方案要求，对</w:t>
      </w:r>
      <w:r>
        <w:rPr>
          <w:rFonts w:hint="eastAsia" w:ascii="方正仿宋_GBK" w:hAnsi="方正仿宋_GBK" w:eastAsia="方正仿宋_GBK" w:cs="方正仿宋_GBK"/>
          <w:b w:val="0"/>
          <w:bCs w:val="0"/>
          <w:color w:val="000000"/>
          <w:kern w:val="0"/>
          <w:sz w:val="32"/>
          <w:szCs w:val="32"/>
          <w:lang w:val="en-US" w:eastAsia="zh-CN" w:bidi="ar-SA"/>
        </w:rPr>
        <w:t>青铜峡市</w:t>
      </w:r>
      <w:r>
        <w:rPr>
          <w:rFonts w:hint="default" w:ascii="方正仿宋_GBK" w:hAnsi="方正仿宋_GBK" w:eastAsia="方正仿宋_GBK" w:cs="方正仿宋_GBK"/>
          <w:b w:val="0"/>
          <w:bCs w:val="0"/>
          <w:color w:val="000000"/>
          <w:kern w:val="0"/>
          <w:sz w:val="32"/>
          <w:szCs w:val="32"/>
          <w:lang w:val="en-US" w:eastAsia="zh-CN" w:bidi="ar-SA"/>
        </w:rPr>
        <w:t>奶产业生产能力提升整县推进项目执行情况进行全面自查和绩效自评打分，于</w:t>
      </w:r>
      <w:r>
        <w:rPr>
          <w:rFonts w:hint="eastAsia" w:ascii="方正仿宋_GBK" w:hAnsi="方正仿宋_GBK" w:eastAsia="方正仿宋_GBK" w:cs="方正仿宋_GBK"/>
          <w:b w:val="0"/>
          <w:bCs w:val="0"/>
          <w:color w:val="000000"/>
          <w:kern w:val="0"/>
          <w:sz w:val="32"/>
          <w:szCs w:val="32"/>
          <w:lang w:val="en-US" w:eastAsia="zh-CN" w:bidi="ar-SA"/>
        </w:rPr>
        <w:t>当</w:t>
      </w:r>
      <w:r>
        <w:rPr>
          <w:rFonts w:hint="default" w:ascii="方正仿宋_GBK" w:hAnsi="方正仿宋_GBK" w:eastAsia="方正仿宋_GBK" w:cs="方正仿宋_GBK"/>
          <w:b w:val="0"/>
          <w:bCs w:val="0"/>
          <w:color w:val="000000"/>
          <w:kern w:val="0"/>
          <w:sz w:val="32"/>
          <w:szCs w:val="32"/>
          <w:lang w:val="en-US" w:eastAsia="zh-CN" w:bidi="ar-SA"/>
        </w:rPr>
        <w:t>年11月20日前将项目总结报告及绩效自评报告报送</w:t>
      </w:r>
      <w:r>
        <w:rPr>
          <w:rFonts w:hint="eastAsia" w:ascii="方正仿宋_GBK" w:hAnsi="方正仿宋_GBK" w:eastAsia="方正仿宋_GBK" w:cs="方正仿宋_GBK"/>
          <w:b w:val="0"/>
          <w:bCs w:val="0"/>
          <w:color w:val="000000"/>
          <w:kern w:val="0"/>
          <w:sz w:val="32"/>
          <w:szCs w:val="32"/>
          <w:lang w:val="en-US" w:eastAsia="zh-CN" w:bidi="ar-SA"/>
        </w:rPr>
        <w:t>青铜峡市</w:t>
      </w:r>
      <w:r>
        <w:rPr>
          <w:rFonts w:hint="default" w:ascii="方正仿宋_GBK" w:hAnsi="方正仿宋_GBK" w:eastAsia="方正仿宋_GBK" w:cs="方正仿宋_GBK"/>
          <w:b w:val="0"/>
          <w:bCs w:val="0"/>
          <w:color w:val="000000"/>
          <w:kern w:val="0"/>
          <w:sz w:val="32"/>
          <w:szCs w:val="32"/>
          <w:lang w:val="en-US" w:eastAsia="zh-CN" w:bidi="ar-SA"/>
        </w:rPr>
        <w:t>畜牧水产技术推广服务中心。</w:t>
      </w:r>
    </w:p>
    <w:p w14:paraId="3EE1A5DD">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right="0" w:firstLine="643"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r>
        <w:rPr>
          <w:rFonts w:hint="eastAsia" w:ascii="楷体" w:hAnsi="楷体" w:eastAsia="方正楷体_GBK" w:cs="楷体"/>
          <w:b/>
          <w:bCs/>
          <w:sz w:val="32"/>
          <w:szCs w:val="32"/>
          <w:lang w:eastAsia="zh-CN"/>
        </w:rPr>
        <w:t>（二）</w:t>
      </w:r>
      <w:r>
        <w:rPr>
          <w:rFonts w:hint="default" w:ascii="楷体" w:hAnsi="楷体" w:eastAsia="方正楷体_GBK" w:cs="楷体"/>
          <w:b/>
          <w:bCs/>
          <w:sz w:val="32"/>
          <w:szCs w:val="32"/>
          <w:lang w:eastAsia="zh-CN"/>
        </w:rPr>
        <w:t>实地验收</w:t>
      </w:r>
      <w:r>
        <w:rPr>
          <w:rFonts w:hint="eastAsia" w:ascii="楷体" w:hAnsi="楷体" w:eastAsia="方正楷体_GBK" w:cs="楷体"/>
          <w:b/>
          <w:bCs/>
          <w:sz w:val="32"/>
          <w:szCs w:val="32"/>
          <w:lang w:eastAsia="zh-CN"/>
        </w:rPr>
        <w:t>。</w:t>
      </w:r>
      <w:r>
        <w:rPr>
          <w:rFonts w:hint="eastAsia" w:ascii="方正仿宋_GBK" w:hAnsi="方正仿宋_GBK" w:eastAsia="方正仿宋_GBK" w:cs="方正仿宋_GBK"/>
          <w:b w:val="0"/>
          <w:bCs w:val="0"/>
          <w:color w:val="000000"/>
          <w:kern w:val="0"/>
          <w:sz w:val="32"/>
          <w:szCs w:val="32"/>
          <w:lang w:val="en-US" w:eastAsia="zh-CN" w:bidi="ar-SA"/>
        </w:rPr>
        <w:t>由青铜峡市</w:t>
      </w:r>
      <w:r>
        <w:rPr>
          <w:rFonts w:hint="default" w:ascii="方正仿宋_GBK" w:hAnsi="方正仿宋_GBK" w:eastAsia="方正仿宋_GBK" w:cs="方正仿宋_GBK"/>
          <w:b w:val="0"/>
          <w:bCs w:val="0"/>
          <w:color w:val="000000"/>
          <w:kern w:val="0"/>
          <w:sz w:val="32"/>
          <w:szCs w:val="32"/>
          <w:lang w:val="en-US" w:eastAsia="zh-CN" w:bidi="ar-SA"/>
        </w:rPr>
        <w:t>农业农村局</w:t>
      </w:r>
      <w:r>
        <w:rPr>
          <w:rFonts w:hint="eastAsia" w:ascii="方正仿宋_GBK" w:hAnsi="方正仿宋_GBK" w:eastAsia="方正仿宋_GBK" w:cs="方正仿宋_GBK"/>
          <w:b w:val="0"/>
          <w:bCs w:val="0"/>
          <w:color w:val="000000"/>
          <w:kern w:val="0"/>
          <w:sz w:val="32"/>
          <w:szCs w:val="32"/>
          <w:lang w:val="en-US" w:eastAsia="zh-CN" w:bidi="ar-SA"/>
        </w:rPr>
        <w:t>办公室</w:t>
      </w:r>
      <w:r>
        <w:rPr>
          <w:rFonts w:hint="default" w:ascii="方正仿宋_GBK" w:hAnsi="方正仿宋_GBK" w:eastAsia="方正仿宋_GBK" w:cs="方正仿宋_GBK"/>
          <w:b w:val="0"/>
          <w:bCs w:val="0"/>
          <w:color w:val="000000"/>
          <w:kern w:val="0"/>
          <w:sz w:val="32"/>
          <w:szCs w:val="32"/>
          <w:lang w:val="en-US" w:eastAsia="zh-CN" w:bidi="ar-SA"/>
        </w:rPr>
        <w:t>、</w:t>
      </w:r>
      <w:r>
        <w:rPr>
          <w:rFonts w:hint="eastAsia" w:ascii="方正仿宋_GBK" w:hAnsi="方正仿宋_GBK" w:eastAsia="方正仿宋_GBK" w:cs="方正仿宋_GBK"/>
          <w:b w:val="0"/>
          <w:bCs w:val="0"/>
          <w:color w:val="000000"/>
          <w:kern w:val="0"/>
          <w:sz w:val="32"/>
          <w:szCs w:val="32"/>
          <w:lang w:val="en-US" w:eastAsia="zh-CN" w:bidi="ar-SA"/>
        </w:rPr>
        <w:t>产业办、</w:t>
      </w:r>
      <w:r>
        <w:rPr>
          <w:rFonts w:hint="default" w:ascii="方正仿宋_GBK" w:hAnsi="方正仿宋_GBK" w:eastAsia="方正仿宋_GBK" w:cs="方正仿宋_GBK"/>
          <w:b w:val="0"/>
          <w:bCs w:val="0"/>
          <w:color w:val="000000"/>
          <w:kern w:val="0"/>
          <w:sz w:val="32"/>
          <w:szCs w:val="32"/>
          <w:lang w:val="en-US" w:eastAsia="zh-CN" w:bidi="ar-SA"/>
        </w:rPr>
        <w:t>畜牧水产</w:t>
      </w:r>
      <w:r>
        <w:rPr>
          <w:rFonts w:hint="eastAsia" w:ascii="方正仿宋_GBK" w:hAnsi="方正仿宋_GBK" w:eastAsia="方正仿宋_GBK" w:cs="方正仿宋_GBK"/>
          <w:b w:val="0"/>
          <w:bCs w:val="0"/>
          <w:color w:val="000000"/>
          <w:kern w:val="0"/>
          <w:sz w:val="32"/>
          <w:szCs w:val="32"/>
          <w:lang w:val="en-US" w:eastAsia="zh-CN" w:bidi="ar-SA"/>
        </w:rPr>
        <w:t>技术推广服务</w:t>
      </w:r>
      <w:r>
        <w:rPr>
          <w:rFonts w:hint="default" w:ascii="方正仿宋_GBK" w:hAnsi="方正仿宋_GBK" w:eastAsia="方正仿宋_GBK" w:cs="方正仿宋_GBK"/>
          <w:b w:val="0"/>
          <w:bCs w:val="0"/>
          <w:color w:val="000000"/>
          <w:kern w:val="0"/>
          <w:sz w:val="32"/>
          <w:szCs w:val="32"/>
          <w:lang w:val="en-US" w:eastAsia="zh-CN" w:bidi="ar-SA"/>
        </w:rPr>
        <w:t>中心组成考核验收小组，逐个对项目实施单位进行实地考核验收。主要通过听取汇报、查阅</w:t>
      </w:r>
      <w:r>
        <w:rPr>
          <w:rFonts w:hint="eastAsia" w:ascii="方正仿宋_GBK" w:hAnsi="方正仿宋_GBK" w:eastAsia="方正仿宋_GBK" w:cs="方正仿宋_GBK"/>
          <w:b w:val="0"/>
          <w:bCs w:val="0"/>
          <w:color w:val="000000"/>
          <w:kern w:val="0"/>
          <w:sz w:val="32"/>
          <w:szCs w:val="32"/>
          <w:lang w:val="en-US" w:eastAsia="zh-CN" w:bidi="ar-SA"/>
        </w:rPr>
        <w:t>项目</w:t>
      </w:r>
      <w:r>
        <w:rPr>
          <w:rFonts w:hint="default" w:ascii="方正仿宋_GBK" w:hAnsi="方正仿宋_GBK" w:eastAsia="方正仿宋_GBK" w:cs="方正仿宋_GBK"/>
          <w:b w:val="0"/>
          <w:bCs w:val="0"/>
          <w:color w:val="000000"/>
          <w:kern w:val="0"/>
          <w:sz w:val="32"/>
          <w:szCs w:val="32"/>
          <w:lang w:val="en-US" w:eastAsia="zh-CN" w:bidi="ar-SA"/>
        </w:rPr>
        <w:t>资料、现场验收等方式，全面核实了解项目实施情况，督促进度、检查问题、了解困难、总结经验。</w:t>
      </w:r>
    </w:p>
    <w:p w14:paraId="6E7E97DC">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right="0" w:firstLine="643"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r>
        <w:rPr>
          <w:rFonts w:hint="eastAsia" w:ascii="楷体" w:hAnsi="楷体" w:eastAsia="方正楷体_GBK" w:cs="楷体"/>
          <w:b/>
          <w:bCs/>
          <w:sz w:val="32"/>
          <w:szCs w:val="32"/>
          <w:lang w:eastAsia="zh-CN"/>
        </w:rPr>
        <w:t>（三）</w:t>
      </w:r>
      <w:r>
        <w:rPr>
          <w:rFonts w:hint="default" w:ascii="楷体" w:hAnsi="楷体" w:eastAsia="方正楷体_GBK" w:cs="楷体"/>
          <w:b/>
          <w:bCs/>
          <w:sz w:val="32"/>
          <w:szCs w:val="32"/>
          <w:lang w:eastAsia="zh-CN"/>
        </w:rPr>
        <w:t>综合评价</w:t>
      </w:r>
      <w:r>
        <w:rPr>
          <w:rFonts w:hint="eastAsia" w:ascii="楷体" w:hAnsi="楷体" w:eastAsia="方正楷体_GBK" w:cs="楷体"/>
          <w:b/>
          <w:bCs/>
          <w:sz w:val="32"/>
          <w:szCs w:val="32"/>
          <w:lang w:eastAsia="zh-CN"/>
        </w:rPr>
        <w:t>。</w:t>
      </w:r>
      <w:r>
        <w:rPr>
          <w:rFonts w:hint="default" w:ascii="方正仿宋_GBK" w:hAnsi="方正仿宋_GBK" w:eastAsia="方正仿宋_GBK" w:cs="方正仿宋_GBK"/>
          <w:b w:val="0"/>
          <w:bCs w:val="0"/>
          <w:color w:val="000000"/>
          <w:kern w:val="0"/>
          <w:sz w:val="32"/>
          <w:szCs w:val="32"/>
          <w:lang w:val="en-US" w:eastAsia="zh-CN" w:bidi="ar-SA"/>
        </w:rPr>
        <w:t>项目绩效评价考核分优秀、良好、合格、不合格四个档次。90分（含90分）以上为优秀（含90分）；80-89分（含80分）为良好；70-79分（含70分）以上为合格；70分以下为不合格。考核成绩将作为下年度项目和资金安排的依据。</w:t>
      </w:r>
    </w:p>
    <w:p w14:paraId="52A16BED">
      <w:pPr>
        <w:keepNext w:val="0"/>
        <w:keepLines w:val="0"/>
        <w:pageBreakBefore w:val="0"/>
        <w:widowControl w:val="0"/>
        <w:kinsoku/>
        <w:wordWrap/>
        <w:overflowPunct/>
        <w:topLinePunct w:val="0"/>
        <w:autoSpaceDE/>
        <w:autoSpaceDN/>
        <w:bidi w:val="0"/>
        <w:spacing w:beforeAutospacing="0" w:afterAutospacing="0" w:line="560" w:lineRule="exact"/>
        <w:ind w:left="0" w:leftChars="0" w:right="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三、绩效考核管理</w:t>
      </w:r>
    </w:p>
    <w:p w14:paraId="4857E693">
      <w:pPr>
        <w:keepNext w:val="0"/>
        <w:keepLines w:val="0"/>
        <w:pageBreakBefore w:val="0"/>
        <w:widowControl w:val="0"/>
        <w:numPr>
          <w:ilvl w:val="0"/>
          <w:numId w:val="0"/>
        </w:numPr>
        <w:kinsoku/>
        <w:wordWrap/>
        <w:overflowPunct/>
        <w:topLinePunct w:val="0"/>
        <w:autoSpaceDE/>
        <w:autoSpaceDN/>
        <w:bidi w:val="0"/>
        <w:spacing w:beforeAutospacing="0" w:afterAutospacing="0" w:line="560" w:lineRule="exact"/>
        <w:ind w:left="0" w:leftChars="0" w:right="0" w:firstLine="643"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r>
        <w:rPr>
          <w:rFonts w:hint="default" w:ascii="楷体" w:hAnsi="楷体" w:eastAsia="方正楷体_GBK" w:cs="楷体"/>
          <w:b/>
          <w:bCs/>
          <w:sz w:val="32"/>
          <w:szCs w:val="32"/>
          <w:lang w:eastAsia="zh-CN"/>
        </w:rPr>
        <w:t>（一）加强组织领导</w:t>
      </w:r>
      <w:r>
        <w:rPr>
          <w:rFonts w:hint="eastAsia" w:ascii="楷体" w:hAnsi="楷体" w:eastAsia="方正楷体_GBK" w:cs="楷体"/>
          <w:b/>
          <w:bCs/>
          <w:sz w:val="32"/>
          <w:szCs w:val="32"/>
          <w:lang w:eastAsia="zh-CN"/>
        </w:rPr>
        <w:t>。</w:t>
      </w:r>
      <w:r>
        <w:rPr>
          <w:rFonts w:hint="default" w:ascii="方正仿宋_GBK" w:hAnsi="方正仿宋_GBK" w:eastAsia="方正仿宋_GBK" w:cs="方正仿宋_GBK"/>
          <w:b w:val="0"/>
          <w:bCs w:val="0"/>
          <w:color w:val="000000"/>
          <w:kern w:val="0"/>
          <w:sz w:val="32"/>
          <w:szCs w:val="32"/>
          <w:lang w:val="en-US" w:eastAsia="zh-CN" w:bidi="ar-SA"/>
        </w:rPr>
        <w:t>由</w:t>
      </w:r>
      <w:r>
        <w:rPr>
          <w:rFonts w:hint="eastAsia" w:ascii="方正仿宋_GBK" w:hAnsi="方正仿宋_GBK" w:eastAsia="方正仿宋_GBK" w:cs="方正仿宋_GBK"/>
          <w:b w:val="0"/>
          <w:bCs w:val="0"/>
          <w:color w:val="000000"/>
          <w:kern w:val="0"/>
          <w:sz w:val="32"/>
          <w:szCs w:val="32"/>
          <w:lang w:val="en-US" w:eastAsia="zh-CN" w:bidi="ar-SA"/>
        </w:rPr>
        <w:t>青铜峡市</w:t>
      </w:r>
      <w:r>
        <w:rPr>
          <w:rFonts w:hint="default" w:ascii="方正仿宋_GBK" w:hAnsi="方正仿宋_GBK" w:eastAsia="方正仿宋_GBK" w:cs="方正仿宋_GBK"/>
          <w:b w:val="0"/>
          <w:bCs w:val="0"/>
          <w:color w:val="000000"/>
          <w:kern w:val="0"/>
          <w:sz w:val="32"/>
          <w:szCs w:val="32"/>
          <w:lang w:val="en-US" w:eastAsia="zh-CN" w:bidi="ar-SA"/>
        </w:rPr>
        <w:t>农业农村局</w:t>
      </w:r>
      <w:r>
        <w:rPr>
          <w:rFonts w:hint="eastAsia" w:ascii="方正仿宋_GBK" w:hAnsi="方正仿宋_GBK" w:eastAsia="方正仿宋_GBK" w:cs="方正仿宋_GBK"/>
          <w:b w:val="0"/>
          <w:bCs w:val="0"/>
          <w:color w:val="000000"/>
          <w:kern w:val="0"/>
          <w:sz w:val="32"/>
          <w:szCs w:val="32"/>
          <w:lang w:val="en-US" w:eastAsia="zh-CN" w:bidi="ar-SA"/>
        </w:rPr>
        <w:t>办公室、产业办</w:t>
      </w:r>
      <w:r>
        <w:rPr>
          <w:rFonts w:hint="default" w:ascii="方正仿宋_GBK" w:hAnsi="方正仿宋_GBK" w:eastAsia="方正仿宋_GBK" w:cs="方正仿宋_GBK"/>
          <w:b w:val="0"/>
          <w:bCs w:val="0"/>
          <w:color w:val="000000"/>
          <w:kern w:val="0"/>
          <w:sz w:val="32"/>
          <w:szCs w:val="32"/>
          <w:lang w:val="en-US" w:eastAsia="zh-CN" w:bidi="ar-SA"/>
        </w:rPr>
        <w:t>、畜牧水产技术服务中心人员组成</w:t>
      </w:r>
      <w:r>
        <w:rPr>
          <w:rFonts w:hint="eastAsia" w:ascii="方正仿宋_GBK" w:hAnsi="方正仿宋_GBK" w:eastAsia="方正仿宋_GBK" w:cs="方正仿宋_GBK"/>
          <w:b w:val="0"/>
          <w:bCs w:val="0"/>
          <w:color w:val="000000"/>
          <w:kern w:val="0"/>
          <w:sz w:val="32"/>
          <w:szCs w:val="32"/>
          <w:lang w:val="en-US" w:eastAsia="zh-CN" w:bidi="ar-SA"/>
        </w:rPr>
        <w:t>考核</w:t>
      </w:r>
      <w:r>
        <w:rPr>
          <w:rFonts w:hint="default" w:ascii="方正仿宋_GBK" w:hAnsi="方正仿宋_GBK" w:eastAsia="方正仿宋_GBK" w:cs="方正仿宋_GBK"/>
          <w:b w:val="0"/>
          <w:bCs w:val="0"/>
          <w:color w:val="000000"/>
          <w:kern w:val="0"/>
          <w:sz w:val="32"/>
          <w:szCs w:val="32"/>
          <w:lang w:val="en-US" w:eastAsia="zh-CN" w:bidi="ar-SA"/>
        </w:rPr>
        <w:t>验收小组，对</w:t>
      </w:r>
      <w:r>
        <w:rPr>
          <w:rFonts w:hint="eastAsia" w:ascii="方正仿宋_GBK" w:hAnsi="方正仿宋_GBK" w:eastAsia="方正仿宋_GBK" w:cs="方正仿宋_GBK"/>
          <w:b w:val="0"/>
          <w:bCs w:val="0"/>
          <w:color w:val="000000"/>
          <w:kern w:val="0"/>
          <w:sz w:val="32"/>
          <w:szCs w:val="32"/>
          <w:lang w:val="en-US" w:eastAsia="zh-CN" w:bidi="ar-SA"/>
        </w:rPr>
        <w:t>青铜峡市</w:t>
      </w:r>
      <w:r>
        <w:rPr>
          <w:rFonts w:hint="default" w:ascii="方正仿宋_GBK" w:hAnsi="方正仿宋_GBK" w:eastAsia="方正仿宋_GBK" w:cs="方正仿宋_GBK"/>
          <w:b w:val="0"/>
          <w:bCs w:val="0"/>
          <w:color w:val="000000"/>
          <w:kern w:val="0"/>
          <w:sz w:val="32"/>
          <w:szCs w:val="32"/>
          <w:lang w:val="en-US" w:eastAsia="zh-CN" w:bidi="ar-SA"/>
        </w:rPr>
        <w:t>各项目</w:t>
      </w:r>
      <w:r>
        <w:rPr>
          <w:rFonts w:hint="eastAsia" w:ascii="方正仿宋_GBK" w:hAnsi="方正仿宋_GBK" w:eastAsia="方正仿宋_GBK" w:cs="方正仿宋_GBK"/>
          <w:b w:val="0"/>
          <w:bCs w:val="0"/>
          <w:color w:val="000000"/>
          <w:kern w:val="0"/>
          <w:sz w:val="32"/>
          <w:szCs w:val="32"/>
          <w:lang w:val="en-US" w:eastAsia="zh-CN" w:bidi="ar-SA"/>
        </w:rPr>
        <w:t>实施</w:t>
      </w:r>
      <w:r>
        <w:rPr>
          <w:rFonts w:hint="default" w:ascii="方正仿宋_GBK" w:hAnsi="方正仿宋_GBK" w:eastAsia="方正仿宋_GBK" w:cs="方正仿宋_GBK"/>
          <w:b w:val="0"/>
          <w:bCs w:val="0"/>
          <w:color w:val="000000"/>
          <w:kern w:val="0"/>
          <w:sz w:val="32"/>
          <w:szCs w:val="32"/>
          <w:lang w:val="en-US" w:eastAsia="zh-CN" w:bidi="ar-SA"/>
        </w:rPr>
        <w:t>单位，进行绩效考评工作。</w:t>
      </w:r>
    </w:p>
    <w:p w14:paraId="253381AE">
      <w:pPr>
        <w:keepNext w:val="0"/>
        <w:keepLines w:val="0"/>
        <w:pageBreakBefore w:val="0"/>
        <w:widowControl w:val="0"/>
        <w:kinsoku/>
        <w:wordWrap/>
        <w:overflowPunct/>
        <w:topLinePunct w:val="0"/>
        <w:autoSpaceDE/>
        <w:autoSpaceDN/>
        <w:bidi w:val="0"/>
        <w:spacing w:beforeAutospacing="0" w:afterAutospacing="0" w:line="560" w:lineRule="exact"/>
        <w:ind w:left="0" w:leftChars="0" w:right="0" w:firstLine="643"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r>
        <w:rPr>
          <w:rFonts w:hint="default" w:ascii="楷体" w:hAnsi="楷体" w:eastAsia="方正楷体_GBK" w:cs="楷体"/>
          <w:b/>
          <w:bCs/>
          <w:sz w:val="32"/>
          <w:szCs w:val="32"/>
          <w:lang w:eastAsia="zh-CN"/>
        </w:rPr>
        <w:t>（二）严格绩效考核</w:t>
      </w:r>
      <w:r>
        <w:rPr>
          <w:rFonts w:hint="eastAsia" w:ascii="楷体" w:hAnsi="楷体" w:eastAsia="方正楷体_GBK" w:cs="楷体"/>
          <w:b/>
          <w:bCs/>
          <w:sz w:val="32"/>
          <w:szCs w:val="32"/>
          <w:lang w:eastAsia="zh-CN"/>
        </w:rPr>
        <w:t>。</w:t>
      </w:r>
      <w:r>
        <w:rPr>
          <w:rFonts w:hint="eastAsia" w:ascii="方正仿宋_GBK" w:hAnsi="方正仿宋_GBK" w:eastAsia="方正仿宋_GBK" w:cs="方正仿宋_GBK"/>
          <w:b w:val="0"/>
          <w:bCs w:val="0"/>
          <w:color w:val="000000"/>
          <w:kern w:val="0"/>
          <w:sz w:val="32"/>
          <w:szCs w:val="32"/>
          <w:lang w:val="en-US" w:eastAsia="zh-CN" w:bidi="ar-SA"/>
        </w:rPr>
        <w:t>青铜峡市</w:t>
      </w:r>
      <w:r>
        <w:rPr>
          <w:rFonts w:hint="default" w:ascii="方正仿宋_GBK" w:hAnsi="方正仿宋_GBK" w:eastAsia="方正仿宋_GBK" w:cs="方正仿宋_GBK"/>
          <w:b w:val="0"/>
          <w:bCs w:val="0"/>
          <w:color w:val="000000"/>
          <w:kern w:val="0"/>
          <w:sz w:val="32"/>
          <w:szCs w:val="32"/>
          <w:lang w:val="en-US" w:eastAsia="zh-CN" w:bidi="ar-SA"/>
        </w:rPr>
        <w:t>农业农村局成立考核小组，对</w:t>
      </w:r>
      <w:r>
        <w:rPr>
          <w:rFonts w:hint="eastAsia" w:ascii="方正仿宋_GBK" w:hAnsi="方正仿宋_GBK" w:eastAsia="方正仿宋_GBK" w:cs="方正仿宋_GBK"/>
          <w:b w:val="0"/>
          <w:bCs w:val="0"/>
          <w:color w:val="000000"/>
          <w:kern w:val="0"/>
          <w:sz w:val="32"/>
          <w:szCs w:val="32"/>
          <w:lang w:val="en-US" w:eastAsia="zh-CN" w:bidi="ar-SA"/>
        </w:rPr>
        <w:t>青铜峡市</w:t>
      </w:r>
      <w:r>
        <w:rPr>
          <w:rFonts w:hint="default" w:ascii="方正仿宋_GBK" w:hAnsi="方正仿宋_GBK" w:eastAsia="方正仿宋_GBK" w:cs="方正仿宋_GBK"/>
          <w:b w:val="0"/>
          <w:bCs w:val="0"/>
          <w:color w:val="000000"/>
          <w:kern w:val="0"/>
          <w:sz w:val="32"/>
          <w:szCs w:val="32"/>
          <w:lang w:val="en-US" w:eastAsia="zh-CN" w:bidi="ar-SA"/>
        </w:rPr>
        <w:t>项目实施单位进行绩效考核，对照绩效评价指标体系内容逐项打分，做到公开、公正、透明。考核结果公示无异议后及时兑付奖补资金。</w:t>
      </w:r>
    </w:p>
    <w:p w14:paraId="20D7AAAB">
      <w:pPr>
        <w:keepNext w:val="0"/>
        <w:keepLines w:val="0"/>
        <w:pageBreakBefore w:val="0"/>
        <w:widowControl w:val="0"/>
        <w:kinsoku/>
        <w:wordWrap/>
        <w:overflowPunct/>
        <w:topLinePunct w:val="0"/>
        <w:autoSpaceDE/>
        <w:autoSpaceDN/>
        <w:bidi w:val="0"/>
        <w:spacing w:beforeAutospacing="0" w:afterAutospacing="0" w:line="560" w:lineRule="exact"/>
        <w:ind w:left="0" w:leftChars="0" w:right="0" w:firstLine="640"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p>
    <w:p w14:paraId="7907F7D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598" w:leftChars="304" w:right="0" w:hanging="960" w:hangingChars="300"/>
        <w:jc w:val="both"/>
        <w:textAlignment w:val="auto"/>
        <w:rPr>
          <w:rFonts w:hint="default" w:ascii="方正仿宋_GBK" w:hAnsi="方正仿宋_GBK" w:eastAsia="方正仿宋_GBK" w:cs="方正仿宋_GBK"/>
          <w:b w:val="0"/>
          <w:bCs w:val="0"/>
          <w:color w:val="000000"/>
          <w:kern w:val="0"/>
          <w:sz w:val="32"/>
          <w:szCs w:val="32"/>
          <w:lang w:val="en-US" w:eastAsia="zh-CN" w:bidi="ar-SA"/>
        </w:rPr>
      </w:pPr>
      <w:r>
        <w:rPr>
          <w:rFonts w:hint="default" w:ascii="方正仿宋_GBK" w:hAnsi="方正仿宋_GBK" w:eastAsia="方正仿宋_GBK" w:cs="方正仿宋_GBK"/>
          <w:b w:val="0"/>
          <w:bCs w:val="0"/>
          <w:color w:val="000000"/>
          <w:kern w:val="0"/>
          <w:sz w:val="32"/>
          <w:szCs w:val="32"/>
          <w:lang w:val="en-US" w:eastAsia="zh-CN" w:bidi="ar-SA"/>
        </w:rPr>
        <w:t>附表：</w:t>
      </w:r>
      <w:r>
        <w:rPr>
          <w:rFonts w:hint="eastAsia" w:ascii="方正仿宋_GBK" w:hAnsi="方正仿宋_GBK" w:eastAsia="方正仿宋_GBK" w:cs="方正仿宋_GBK"/>
          <w:b w:val="0"/>
          <w:bCs w:val="0"/>
          <w:color w:val="000000"/>
          <w:kern w:val="0"/>
          <w:sz w:val="32"/>
          <w:szCs w:val="32"/>
          <w:lang w:val="en-US" w:eastAsia="zh-CN" w:bidi="ar-SA"/>
        </w:rPr>
        <w:t>青铜峡市</w:t>
      </w:r>
      <w:r>
        <w:rPr>
          <w:rFonts w:hint="default" w:ascii="方正仿宋_GBK" w:hAnsi="方正仿宋_GBK" w:eastAsia="方正仿宋_GBK" w:cs="方正仿宋_GBK"/>
          <w:b w:val="0"/>
          <w:bCs w:val="0"/>
          <w:color w:val="000000"/>
          <w:kern w:val="0"/>
          <w:sz w:val="32"/>
          <w:szCs w:val="32"/>
          <w:lang w:val="en-US" w:eastAsia="zh-CN" w:bidi="ar-SA"/>
        </w:rPr>
        <w:t>奶产业生产能力提升整县推进项目绩效考核指标体系</w:t>
      </w:r>
    </w:p>
    <w:p w14:paraId="1A6213DE"/>
    <w:p w14:paraId="464545CB"/>
    <w:p w14:paraId="1FDF9698"/>
    <w:p w14:paraId="2A694070"/>
    <w:p w14:paraId="40BF8026"/>
    <w:p w14:paraId="45CA9807">
      <w:pPr>
        <w:keepNext w:val="0"/>
        <w:keepLines w:val="0"/>
        <w:pageBreakBefore w:val="0"/>
        <w:kinsoku/>
        <w:wordWrap/>
        <w:overflowPunct/>
        <w:topLinePunct w:val="0"/>
        <w:bidi w:val="0"/>
        <w:adjustRightInd w:val="0"/>
        <w:snapToGrid w:val="0"/>
        <w:spacing w:beforeAutospacing="0" w:afterAutospacing="0" w:line="560" w:lineRule="exact"/>
        <w:ind w:right="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附表</w:t>
      </w:r>
      <w:r>
        <w:rPr>
          <w:rFonts w:hint="eastAsia" w:ascii="方正仿宋_GBK" w:hAnsi="方正仿宋_GBK" w:eastAsia="方正仿宋_GBK" w:cs="方正仿宋_GBK"/>
          <w:sz w:val="32"/>
          <w:szCs w:val="32"/>
          <w:lang w:eastAsia="zh-CN"/>
        </w:rPr>
        <w:t>：</w:t>
      </w:r>
    </w:p>
    <w:p w14:paraId="17DDFC66">
      <w:pPr>
        <w:keepNext w:val="0"/>
        <w:keepLines w:val="0"/>
        <w:pageBreakBefore w:val="0"/>
        <w:widowControl w:val="0"/>
        <w:kinsoku/>
        <w:wordWrap/>
        <w:overflowPunct/>
        <w:topLinePunct w:val="0"/>
        <w:autoSpaceDE/>
        <w:autoSpaceDN/>
        <w:bidi w:val="0"/>
        <w:adjustRightInd w:val="0"/>
        <w:snapToGrid w:val="0"/>
        <w:spacing w:beforeAutospacing="0" w:afterAutospacing="0" w:line="700" w:lineRule="exact"/>
        <w:ind w:right="0" w:firstLine="374" w:firstLineChars="100"/>
        <w:jc w:val="center"/>
        <w:textAlignment w:val="auto"/>
        <w:rPr>
          <w:rFonts w:hint="eastAsia" w:ascii="方正小标宋_GBK" w:hAnsi="方正小标宋_GBK" w:eastAsia="方正小标宋_GBK" w:cs="方正小标宋_GBK"/>
          <w:w w:val="85"/>
          <w:sz w:val="44"/>
          <w:szCs w:val="44"/>
          <w:shd w:val="clear" w:color="auto" w:fill="auto"/>
          <w:lang w:eastAsia="zh-CN"/>
        </w:rPr>
      </w:pPr>
      <w:r>
        <w:rPr>
          <w:rFonts w:hint="eastAsia" w:ascii="方正小标宋_GBK" w:hAnsi="方正小标宋_GBK" w:eastAsia="方正小标宋_GBK" w:cs="方正小标宋_GBK"/>
          <w:w w:val="85"/>
          <w:sz w:val="44"/>
          <w:szCs w:val="44"/>
          <w:shd w:val="clear" w:color="auto" w:fill="auto"/>
          <w:lang w:val="en-US" w:eastAsia="zh-CN"/>
        </w:rPr>
        <w:t>青铜峡市2025奶业生产能力提升整县推进</w:t>
      </w:r>
      <w:r>
        <w:rPr>
          <w:rFonts w:hint="eastAsia" w:ascii="方正小标宋_GBK" w:hAnsi="方正小标宋_GBK" w:eastAsia="方正小标宋_GBK" w:cs="方正小标宋_GBK"/>
          <w:w w:val="85"/>
          <w:sz w:val="44"/>
          <w:szCs w:val="44"/>
          <w:shd w:val="clear" w:color="auto" w:fill="auto"/>
          <w:lang w:eastAsia="zh-CN"/>
        </w:rPr>
        <w:t>项目</w:t>
      </w:r>
    </w:p>
    <w:p w14:paraId="0F97234C">
      <w:pPr>
        <w:keepNext w:val="0"/>
        <w:keepLines w:val="0"/>
        <w:pageBreakBefore w:val="0"/>
        <w:widowControl w:val="0"/>
        <w:kinsoku/>
        <w:wordWrap/>
        <w:overflowPunct/>
        <w:topLinePunct w:val="0"/>
        <w:autoSpaceDE/>
        <w:autoSpaceDN/>
        <w:bidi w:val="0"/>
        <w:adjustRightInd w:val="0"/>
        <w:snapToGrid w:val="0"/>
        <w:spacing w:beforeAutospacing="0" w:afterAutospacing="0" w:line="700" w:lineRule="exact"/>
        <w:ind w:right="0" w:firstLine="374" w:firstLineChars="100"/>
        <w:jc w:val="center"/>
        <w:textAlignment w:val="auto"/>
        <w:rPr>
          <w:rFonts w:ascii="Arial Unicode MS" w:hAnsi="Arial Unicode MS" w:eastAsia="Arial Unicode MS" w:cs="Arial Unicode MS"/>
          <w:bCs/>
          <w:color w:val="000000"/>
          <w:sz w:val="44"/>
          <w:szCs w:val="44"/>
        </w:rPr>
      </w:pPr>
      <w:r>
        <w:rPr>
          <w:rFonts w:hint="eastAsia" w:ascii="方正小标宋_GBK" w:hAnsi="方正小标宋_GBK" w:eastAsia="方正小标宋_GBK" w:cs="方正小标宋_GBK"/>
          <w:w w:val="85"/>
          <w:sz w:val="44"/>
          <w:szCs w:val="44"/>
          <w:shd w:val="clear" w:color="auto" w:fill="auto"/>
        </w:rPr>
        <w:t>绩效考核</w:t>
      </w:r>
      <w:r>
        <w:rPr>
          <w:rFonts w:hint="eastAsia" w:ascii="方正小标宋_GBK" w:hAnsi="方正小标宋_GBK" w:eastAsia="方正小标宋_GBK" w:cs="方正小标宋_GBK"/>
          <w:bCs/>
          <w:color w:val="000000"/>
          <w:w w:val="85"/>
          <w:sz w:val="44"/>
          <w:szCs w:val="44"/>
          <w:shd w:val="clear" w:color="auto" w:fill="auto"/>
        </w:rPr>
        <w:t>指标体系</w:t>
      </w:r>
    </w:p>
    <w:tbl>
      <w:tblPr>
        <w:tblStyle w:val="3"/>
        <w:tblW w:w="9473" w:type="dxa"/>
        <w:tblInd w:w="-344" w:type="dxa"/>
        <w:tblLayout w:type="fixed"/>
        <w:tblCellMar>
          <w:top w:w="15" w:type="dxa"/>
          <w:left w:w="15" w:type="dxa"/>
          <w:bottom w:w="15" w:type="dxa"/>
          <w:right w:w="15" w:type="dxa"/>
        </w:tblCellMar>
      </w:tblPr>
      <w:tblGrid>
        <w:gridCol w:w="946"/>
        <w:gridCol w:w="935"/>
        <w:gridCol w:w="1141"/>
        <w:gridCol w:w="762"/>
        <w:gridCol w:w="4915"/>
        <w:gridCol w:w="774"/>
      </w:tblGrid>
      <w:tr w14:paraId="5AD298F8">
        <w:tblPrEx>
          <w:tblCellMar>
            <w:top w:w="15" w:type="dxa"/>
            <w:left w:w="15" w:type="dxa"/>
            <w:bottom w:w="15" w:type="dxa"/>
            <w:right w:w="15" w:type="dxa"/>
          </w:tblCellMar>
        </w:tblPrEx>
        <w:trPr>
          <w:trHeight w:val="570" w:hRule="atLeast"/>
        </w:trPr>
        <w:tc>
          <w:tcPr>
            <w:tcW w:w="946" w:type="dxa"/>
            <w:tcBorders>
              <w:top w:val="single" w:color="000000" w:sz="4" w:space="0"/>
              <w:left w:val="single" w:color="000000" w:sz="4" w:space="0"/>
              <w:bottom w:val="single" w:color="000000" w:sz="4" w:space="0"/>
              <w:right w:val="single" w:color="000000" w:sz="4" w:space="0"/>
            </w:tcBorders>
            <w:vAlign w:val="center"/>
          </w:tcPr>
          <w:p w14:paraId="540BFFA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一级指标</w:t>
            </w:r>
          </w:p>
        </w:tc>
        <w:tc>
          <w:tcPr>
            <w:tcW w:w="935" w:type="dxa"/>
            <w:tcBorders>
              <w:top w:val="single" w:color="000000" w:sz="4" w:space="0"/>
              <w:left w:val="single" w:color="000000" w:sz="4" w:space="0"/>
              <w:bottom w:val="single" w:color="000000" w:sz="4" w:space="0"/>
              <w:right w:val="single" w:color="000000" w:sz="4" w:space="0"/>
            </w:tcBorders>
            <w:vAlign w:val="center"/>
          </w:tcPr>
          <w:p w14:paraId="07F40E7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二级指标</w:t>
            </w:r>
          </w:p>
        </w:tc>
        <w:tc>
          <w:tcPr>
            <w:tcW w:w="1141" w:type="dxa"/>
            <w:tcBorders>
              <w:top w:val="single" w:color="000000" w:sz="4" w:space="0"/>
              <w:left w:val="single" w:color="000000" w:sz="4" w:space="0"/>
              <w:bottom w:val="single" w:color="000000" w:sz="4" w:space="0"/>
              <w:right w:val="single" w:color="000000" w:sz="4" w:space="0"/>
            </w:tcBorders>
            <w:vAlign w:val="center"/>
          </w:tcPr>
          <w:p w14:paraId="34147E9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三级指标</w:t>
            </w:r>
          </w:p>
        </w:tc>
        <w:tc>
          <w:tcPr>
            <w:tcW w:w="762" w:type="dxa"/>
            <w:tcBorders>
              <w:top w:val="single" w:color="000000" w:sz="4" w:space="0"/>
              <w:left w:val="single" w:color="000000" w:sz="4" w:space="0"/>
              <w:bottom w:val="single" w:color="000000" w:sz="4" w:space="0"/>
              <w:right w:val="single" w:color="000000" w:sz="4" w:space="0"/>
            </w:tcBorders>
            <w:vAlign w:val="center"/>
          </w:tcPr>
          <w:p w14:paraId="73FEE38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分值</w:t>
            </w:r>
          </w:p>
        </w:tc>
        <w:tc>
          <w:tcPr>
            <w:tcW w:w="4915" w:type="dxa"/>
            <w:tcBorders>
              <w:top w:val="single" w:color="000000" w:sz="4" w:space="0"/>
              <w:left w:val="single" w:color="000000" w:sz="4" w:space="0"/>
              <w:bottom w:val="single" w:color="000000" w:sz="4" w:space="0"/>
              <w:right w:val="single" w:color="auto" w:sz="4" w:space="0"/>
            </w:tcBorders>
            <w:vAlign w:val="center"/>
          </w:tcPr>
          <w:p w14:paraId="17468C4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考核内容及评分标准</w:t>
            </w:r>
          </w:p>
        </w:tc>
        <w:tc>
          <w:tcPr>
            <w:tcW w:w="774" w:type="dxa"/>
            <w:tcBorders>
              <w:top w:val="single" w:color="000000" w:sz="4" w:space="0"/>
              <w:left w:val="single" w:color="auto" w:sz="4" w:space="0"/>
              <w:bottom w:val="single" w:color="000000" w:sz="4" w:space="0"/>
              <w:right w:val="single" w:color="000000" w:sz="4" w:space="0"/>
            </w:tcBorders>
            <w:vAlign w:val="center"/>
          </w:tcPr>
          <w:p w14:paraId="388B92C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得</w:t>
            </w:r>
            <w:r>
              <w:rPr>
                <w:rFonts w:hint="eastAsia" w:ascii="方正仿宋_GBK" w:hAnsi="方正仿宋_GBK" w:eastAsia="方正仿宋_GBK" w:cs="方正仿宋_GBK"/>
                <w:color w:val="auto"/>
                <w:sz w:val="21"/>
                <w:szCs w:val="21"/>
              </w:rPr>
              <w:t>分</w:t>
            </w:r>
          </w:p>
        </w:tc>
      </w:tr>
      <w:tr w14:paraId="298F1D84">
        <w:tblPrEx>
          <w:tblCellMar>
            <w:top w:w="15" w:type="dxa"/>
            <w:left w:w="15" w:type="dxa"/>
            <w:bottom w:w="15" w:type="dxa"/>
            <w:right w:w="15" w:type="dxa"/>
          </w:tblCellMar>
        </w:tblPrEx>
        <w:trPr>
          <w:trHeight w:val="100" w:hRule="atLeast"/>
        </w:trPr>
        <w:tc>
          <w:tcPr>
            <w:tcW w:w="946" w:type="dxa"/>
            <w:vMerge w:val="restart"/>
            <w:tcBorders>
              <w:top w:val="single" w:color="000000" w:sz="4" w:space="0"/>
              <w:left w:val="single" w:color="000000" w:sz="4" w:space="0"/>
              <w:bottom w:val="single" w:color="000000" w:sz="4" w:space="0"/>
              <w:right w:val="single" w:color="000000" w:sz="4" w:space="0"/>
            </w:tcBorders>
            <w:vAlign w:val="center"/>
          </w:tcPr>
          <w:p w14:paraId="165BFDD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项目管理（30分）</w:t>
            </w: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14:paraId="61E9113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组织管理（10分）</w:t>
            </w:r>
          </w:p>
        </w:tc>
        <w:tc>
          <w:tcPr>
            <w:tcW w:w="1141" w:type="dxa"/>
            <w:tcBorders>
              <w:top w:val="single" w:color="000000" w:sz="4" w:space="0"/>
              <w:left w:val="single" w:color="000000" w:sz="4" w:space="0"/>
              <w:bottom w:val="single" w:color="000000" w:sz="4" w:space="0"/>
              <w:right w:val="single" w:color="000000" w:sz="4" w:space="0"/>
            </w:tcBorders>
            <w:vAlign w:val="center"/>
          </w:tcPr>
          <w:p w14:paraId="4C674EF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组织机构</w:t>
            </w:r>
          </w:p>
        </w:tc>
        <w:tc>
          <w:tcPr>
            <w:tcW w:w="762" w:type="dxa"/>
            <w:tcBorders>
              <w:top w:val="single" w:color="000000" w:sz="4" w:space="0"/>
              <w:left w:val="single" w:color="000000" w:sz="4" w:space="0"/>
              <w:bottom w:val="single" w:color="000000" w:sz="4" w:space="0"/>
              <w:right w:val="single" w:color="000000" w:sz="4" w:space="0"/>
            </w:tcBorders>
            <w:vAlign w:val="center"/>
          </w:tcPr>
          <w:p w14:paraId="1EACD32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2</w:t>
            </w:r>
          </w:p>
        </w:tc>
        <w:tc>
          <w:tcPr>
            <w:tcW w:w="4915" w:type="dxa"/>
            <w:tcBorders>
              <w:top w:val="single" w:color="000000" w:sz="4" w:space="0"/>
              <w:left w:val="single" w:color="000000" w:sz="4" w:space="0"/>
              <w:bottom w:val="single" w:color="000000" w:sz="4" w:space="0"/>
              <w:right w:val="single" w:color="auto" w:sz="4" w:space="0"/>
            </w:tcBorders>
            <w:vAlign w:val="center"/>
          </w:tcPr>
          <w:p w14:paraId="7AA88E9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项目</w:t>
            </w:r>
            <w:r>
              <w:rPr>
                <w:rFonts w:hint="eastAsia" w:ascii="方正仿宋_GBK" w:hAnsi="方正仿宋_GBK" w:eastAsia="方正仿宋_GBK" w:cs="方正仿宋_GBK"/>
                <w:color w:val="auto"/>
                <w:sz w:val="21"/>
                <w:szCs w:val="21"/>
                <w:lang w:eastAsia="zh-CN"/>
              </w:rPr>
              <w:t>实施主体成立实施领导</w:t>
            </w:r>
            <w:r>
              <w:rPr>
                <w:rFonts w:hint="eastAsia" w:ascii="方正仿宋_GBK" w:hAnsi="方正仿宋_GBK" w:eastAsia="方正仿宋_GBK" w:cs="方正仿宋_GBK"/>
                <w:color w:val="auto"/>
                <w:sz w:val="21"/>
                <w:szCs w:val="21"/>
              </w:rPr>
              <w:t>小组</w:t>
            </w:r>
            <w:r>
              <w:rPr>
                <w:rFonts w:hint="eastAsia" w:ascii="方正仿宋_GBK" w:hAnsi="方正仿宋_GBK" w:eastAsia="方正仿宋_GBK" w:cs="方正仿宋_GBK"/>
                <w:color w:val="auto"/>
                <w:sz w:val="21"/>
                <w:szCs w:val="21"/>
                <w:lang w:eastAsia="zh-CN"/>
              </w:rPr>
              <w:t>，并实行法人负责制</w:t>
            </w:r>
            <w:r>
              <w:rPr>
                <w:rFonts w:hint="eastAsia" w:ascii="方正仿宋_GBK" w:hAnsi="方正仿宋_GBK" w:eastAsia="方正仿宋_GBK" w:cs="方正仿宋_GBK"/>
                <w:color w:val="auto"/>
                <w:sz w:val="21"/>
                <w:szCs w:val="21"/>
              </w:rPr>
              <w:t>得2分，否则不得分。</w:t>
            </w:r>
          </w:p>
        </w:tc>
        <w:tc>
          <w:tcPr>
            <w:tcW w:w="774" w:type="dxa"/>
            <w:tcBorders>
              <w:top w:val="single" w:color="000000" w:sz="4" w:space="0"/>
              <w:left w:val="single" w:color="auto" w:sz="4" w:space="0"/>
              <w:bottom w:val="single" w:color="000000" w:sz="4" w:space="0"/>
              <w:right w:val="single" w:color="000000" w:sz="4" w:space="0"/>
            </w:tcBorders>
            <w:vAlign w:val="center"/>
          </w:tcPr>
          <w:p w14:paraId="68A5958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3AD7F8EF">
        <w:tblPrEx>
          <w:tblCellMar>
            <w:top w:w="15" w:type="dxa"/>
            <w:left w:w="15" w:type="dxa"/>
            <w:bottom w:w="15" w:type="dxa"/>
            <w:right w:w="15" w:type="dxa"/>
          </w:tblCellMar>
        </w:tblPrEx>
        <w:trPr>
          <w:trHeight w:val="570"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0D49879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14:paraId="67D85F4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005CCA9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实施方案</w:t>
            </w:r>
          </w:p>
        </w:tc>
        <w:tc>
          <w:tcPr>
            <w:tcW w:w="762" w:type="dxa"/>
            <w:tcBorders>
              <w:top w:val="single" w:color="000000" w:sz="4" w:space="0"/>
              <w:left w:val="single" w:color="000000" w:sz="4" w:space="0"/>
              <w:bottom w:val="single" w:color="000000" w:sz="4" w:space="0"/>
              <w:right w:val="single" w:color="000000" w:sz="4" w:space="0"/>
            </w:tcBorders>
            <w:vAlign w:val="center"/>
          </w:tcPr>
          <w:p w14:paraId="431B4D7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3</w:t>
            </w:r>
          </w:p>
        </w:tc>
        <w:tc>
          <w:tcPr>
            <w:tcW w:w="4915" w:type="dxa"/>
            <w:tcBorders>
              <w:top w:val="single" w:color="000000" w:sz="4" w:space="0"/>
              <w:left w:val="single" w:color="000000" w:sz="4" w:space="0"/>
              <w:bottom w:val="single" w:color="000000" w:sz="4" w:space="0"/>
              <w:right w:val="single" w:color="auto" w:sz="4" w:space="0"/>
            </w:tcBorders>
            <w:vAlign w:val="center"/>
          </w:tcPr>
          <w:p w14:paraId="6E791BA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制定项目实施方案</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方案</w:t>
            </w:r>
            <w:r>
              <w:rPr>
                <w:rFonts w:hint="eastAsia" w:ascii="方正仿宋_GBK" w:hAnsi="方正仿宋_GBK" w:eastAsia="方正仿宋_GBK" w:cs="方正仿宋_GBK"/>
                <w:color w:val="auto"/>
                <w:sz w:val="21"/>
                <w:szCs w:val="21"/>
              </w:rPr>
              <w:t>结构完整、目标具体、任务明确、措施得力并按时上报得3分，否则不得分。</w:t>
            </w:r>
          </w:p>
        </w:tc>
        <w:tc>
          <w:tcPr>
            <w:tcW w:w="774" w:type="dxa"/>
            <w:tcBorders>
              <w:top w:val="single" w:color="000000" w:sz="4" w:space="0"/>
              <w:left w:val="single" w:color="auto" w:sz="4" w:space="0"/>
              <w:bottom w:val="single" w:color="000000" w:sz="4" w:space="0"/>
              <w:right w:val="single" w:color="000000" w:sz="4" w:space="0"/>
            </w:tcBorders>
            <w:vAlign w:val="center"/>
          </w:tcPr>
          <w:p w14:paraId="28D13AE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1207A0FC">
        <w:tblPrEx>
          <w:tblCellMar>
            <w:top w:w="15" w:type="dxa"/>
            <w:left w:w="15" w:type="dxa"/>
            <w:bottom w:w="15" w:type="dxa"/>
            <w:right w:w="15" w:type="dxa"/>
          </w:tblCellMar>
        </w:tblPrEx>
        <w:trPr>
          <w:trHeight w:val="571"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0590F82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14:paraId="28A79D2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15A4F92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项目验收</w:t>
            </w:r>
          </w:p>
        </w:tc>
        <w:tc>
          <w:tcPr>
            <w:tcW w:w="762" w:type="dxa"/>
            <w:tcBorders>
              <w:top w:val="single" w:color="000000" w:sz="4" w:space="0"/>
              <w:left w:val="single" w:color="000000" w:sz="4" w:space="0"/>
              <w:bottom w:val="single" w:color="000000" w:sz="4" w:space="0"/>
              <w:right w:val="single" w:color="000000" w:sz="4" w:space="0"/>
            </w:tcBorders>
            <w:vAlign w:val="center"/>
          </w:tcPr>
          <w:p w14:paraId="18998AB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w:t>
            </w:r>
          </w:p>
        </w:tc>
        <w:tc>
          <w:tcPr>
            <w:tcW w:w="4915" w:type="dxa"/>
            <w:tcBorders>
              <w:top w:val="single" w:color="000000" w:sz="4" w:space="0"/>
              <w:left w:val="single" w:color="000000" w:sz="4" w:space="0"/>
              <w:bottom w:val="single" w:color="000000" w:sz="4" w:space="0"/>
              <w:right w:val="single" w:color="auto" w:sz="4" w:space="0"/>
            </w:tcBorders>
            <w:vAlign w:val="center"/>
          </w:tcPr>
          <w:p w14:paraId="6946047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eastAsia="zh-CN"/>
              </w:rPr>
              <w:t>项目实施完毕后，开展自验并及时申请项目主管部门验收的</w:t>
            </w:r>
            <w:r>
              <w:rPr>
                <w:rFonts w:hint="eastAsia" w:ascii="方正仿宋_GBK" w:hAnsi="方正仿宋_GBK" w:eastAsia="方正仿宋_GBK" w:cs="方正仿宋_GBK"/>
                <w:color w:val="auto"/>
                <w:sz w:val="21"/>
                <w:szCs w:val="21"/>
              </w:rPr>
              <w:t>，得5分，</w:t>
            </w:r>
            <w:r>
              <w:rPr>
                <w:rFonts w:hint="eastAsia" w:ascii="方正仿宋_GBK" w:hAnsi="方正仿宋_GBK" w:eastAsia="方正仿宋_GBK" w:cs="方正仿宋_GBK"/>
                <w:color w:val="auto"/>
                <w:sz w:val="21"/>
                <w:szCs w:val="21"/>
                <w:lang w:eastAsia="zh-CN"/>
              </w:rPr>
              <w:t>否则不得分。</w:t>
            </w:r>
          </w:p>
        </w:tc>
        <w:tc>
          <w:tcPr>
            <w:tcW w:w="774" w:type="dxa"/>
            <w:tcBorders>
              <w:top w:val="single" w:color="000000" w:sz="4" w:space="0"/>
              <w:left w:val="single" w:color="auto" w:sz="4" w:space="0"/>
              <w:bottom w:val="single" w:color="000000" w:sz="4" w:space="0"/>
              <w:right w:val="single" w:color="000000" w:sz="4" w:space="0"/>
            </w:tcBorders>
            <w:vAlign w:val="center"/>
          </w:tcPr>
          <w:p w14:paraId="5902C19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433A5BD8">
        <w:tblPrEx>
          <w:tblCellMar>
            <w:top w:w="15" w:type="dxa"/>
            <w:left w:w="15" w:type="dxa"/>
            <w:bottom w:w="15" w:type="dxa"/>
            <w:right w:w="15" w:type="dxa"/>
          </w:tblCellMar>
        </w:tblPrEx>
        <w:trPr>
          <w:trHeight w:val="543"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00B8881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14:paraId="3D38EE8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业务管理（10分）</w:t>
            </w:r>
          </w:p>
        </w:tc>
        <w:tc>
          <w:tcPr>
            <w:tcW w:w="1141" w:type="dxa"/>
            <w:tcBorders>
              <w:top w:val="single" w:color="000000" w:sz="4" w:space="0"/>
              <w:left w:val="single" w:color="000000" w:sz="4" w:space="0"/>
              <w:bottom w:val="single" w:color="000000" w:sz="4" w:space="0"/>
              <w:right w:val="single" w:color="000000" w:sz="4" w:space="0"/>
            </w:tcBorders>
            <w:vAlign w:val="center"/>
          </w:tcPr>
          <w:p w14:paraId="63FAD7D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档案管理</w:t>
            </w:r>
          </w:p>
        </w:tc>
        <w:tc>
          <w:tcPr>
            <w:tcW w:w="762" w:type="dxa"/>
            <w:tcBorders>
              <w:top w:val="single" w:color="000000" w:sz="4" w:space="0"/>
              <w:left w:val="single" w:color="000000" w:sz="4" w:space="0"/>
              <w:bottom w:val="single" w:color="000000" w:sz="4" w:space="0"/>
              <w:right w:val="single" w:color="000000" w:sz="4" w:space="0"/>
            </w:tcBorders>
            <w:vAlign w:val="center"/>
          </w:tcPr>
          <w:p w14:paraId="5B89FCE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w:t>
            </w:r>
          </w:p>
        </w:tc>
        <w:tc>
          <w:tcPr>
            <w:tcW w:w="4915" w:type="dxa"/>
            <w:tcBorders>
              <w:top w:val="single" w:color="000000" w:sz="4" w:space="0"/>
              <w:left w:val="single" w:color="000000" w:sz="4" w:space="0"/>
              <w:bottom w:val="single" w:color="000000" w:sz="4" w:space="0"/>
              <w:right w:val="single" w:color="auto" w:sz="4" w:space="0"/>
            </w:tcBorders>
            <w:vAlign w:val="center"/>
          </w:tcPr>
          <w:p w14:paraId="0D02295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eastAsia="zh-CN"/>
              </w:rPr>
              <w:t>项目档案管理规范、齐全得</w:t>
            </w:r>
            <w:r>
              <w:rPr>
                <w:rFonts w:hint="eastAsia" w:ascii="方正仿宋_GBK" w:hAnsi="方正仿宋_GBK" w:eastAsia="方正仿宋_GBK" w:cs="方正仿宋_GBK"/>
                <w:color w:val="auto"/>
                <w:sz w:val="21"/>
                <w:szCs w:val="21"/>
                <w:lang w:val="en-US" w:eastAsia="zh-CN"/>
              </w:rPr>
              <w:t>5分。</w:t>
            </w:r>
          </w:p>
        </w:tc>
        <w:tc>
          <w:tcPr>
            <w:tcW w:w="774" w:type="dxa"/>
            <w:tcBorders>
              <w:top w:val="single" w:color="000000" w:sz="4" w:space="0"/>
              <w:left w:val="single" w:color="auto" w:sz="4" w:space="0"/>
              <w:bottom w:val="single" w:color="000000" w:sz="4" w:space="0"/>
              <w:right w:val="single" w:color="000000" w:sz="4" w:space="0"/>
            </w:tcBorders>
            <w:vAlign w:val="center"/>
          </w:tcPr>
          <w:p w14:paraId="5A27366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7FB8B2C3">
        <w:tblPrEx>
          <w:tblCellMar>
            <w:top w:w="15" w:type="dxa"/>
            <w:left w:w="15" w:type="dxa"/>
            <w:bottom w:w="15" w:type="dxa"/>
            <w:right w:w="15" w:type="dxa"/>
          </w:tblCellMar>
        </w:tblPrEx>
        <w:trPr>
          <w:trHeight w:val="525"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0641974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14:paraId="1C74862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71B674B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质量管理</w:t>
            </w:r>
          </w:p>
        </w:tc>
        <w:tc>
          <w:tcPr>
            <w:tcW w:w="762" w:type="dxa"/>
            <w:tcBorders>
              <w:top w:val="single" w:color="000000" w:sz="4" w:space="0"/>
              <w:left w:val="single" w:color="000000" w:sz="4" w:space="0"/>
              <w:bottom w:val="single" w:color="000000" w:sz="4" w:space="0"/>
              <w:right w:val="single" w:color="000000" w:sz="4" w:space="0"/>
            </w:tcBorders>
            <w:vAlign w:val="center"/>
          </w:tcPr>
          <w:p w14:paraId="0658B86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w:t>
            </w:r>
          </w:p>
        </w:tc>
        <w:tc>
          <w:tcPr>
            <w:tcW w:w="4915" w:type="dxa"/>
            <w:tcBorders>
              <w:top w:val="single" w:color="000000" w:sz="4" w:space="0"/>
              <w:left w:val="single" w:color="000000" w:sz="4" w:space="0"/>
              <w:bottom w:val="single" w:color="000000" w:sz="4" w:space="0"/>
              <w:right w:val="single" w:color="auto" w:sz="4" w:space="0"/>
            </w:tcBorders>
            <w:vAlign w:val="center"/>
          </w:tcPr>
          <w:p w14:paraId="75DDDFB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达到项目设计标准要求</w:t>
            </w:r>
            <w:r>
              <w:rPr>
                <w:rFonts w:hint="eastAsia" w:ascii="方正仿宋_GBK" w:hAnsi="方正仿宋_GBK" w:eastAsia="方正仿宋_GBK" w:cs="方正仿宋_GBK"/>
                <w:color w:val="auto"/>
                <w:sz w:val="21"/>
                <w:szCs w:val="21"/>
              </w:rPr>
              <w:t>得5分，否则不得分。</w:t>
            </w:r>
          </w:p>
        </w:tc>
        <w:tc>
          <w:tcPr>
            <w:tcW w:w="774" w:type="dxa"/>
            <w:tcBorders>
              <w:top w:val="single" w:color="000000" w:sz="4" w:space="0"/>
              <w:left w:val="single" w:color="auto" w:sz="4" w:space="0"/>
              <w:bottom w:val="single" w:color="000000" w:sz="4" w:space="0"/>
              <w:right w:val="single" w:color="000000" w:sz="4" w:space="0"/>
            </w:tcBorders>
            <w:vAlign w:val="center"/>
          </w:tcPr>
          <w:p w14:paraId="11ACECD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15B78AF0">
        <w:tblPrEx>
          <w:tblCellMar>
            <w:top w:w="15" w:type="dxa"/>
            <w:left w:w="15" w:type="dxa"/>
            <w:bottom w:w="15" w:type="dxa"/>
            <w:right w:w="15" w:type="dxa"/>
          </w:tblCellMar>
        </w:tblPrEx>
        <w:trPr>
          <w:trHeight w:val="795"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54CA9CA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935" w:type="dxa"/>
            <w:vMerge w:val="restart"/>
            <w:tcBorders>
              <w:left w:val="single" w:color="000000" w:sz="4" w:space="0"/>
              <w:bottom w:val="single" w:color="000000" w:sz="4" w:space="0"/>
              <w:right w:val="single" w:color="000000" w:sz="4" w:space="0"/>
            </w:tcBorders>
            <w:vAlign w:val="center"/>
          </w:tcPr>
          <w:p w14:paraId="3EF3552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财务管理（10分）</w:t>
            </w:r>
          </w:p>
        </w:tc>
        <w:tc>
          <w:tcPr>
            <w:tcW w:w="1141" w:type="dxa"/>
            <w:tcBorders>
              <w:top w:val="single" w:color="000000" w:sz="4" w:space="0"/>
              <w:left w:val="single" w:color="000000" w:sz="4" w:space="0"/>
              <w:bottom w:val="single" w:color="000000" w:sz="4" w:space="0"/>
              <w:right w:val="single" w:color="000000" w:sz="4" w:space="0"/>
            </w:tcBorders>
            <w:vAlign w:val="center"/>
          </w:tcPr>
          <w:p w14:paraId="1F197AE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财务制度</w:t>
            </w:r>
          </w:p>
        </w:tc>
        <w:tc>
          <w:tcPr>
            <w:tcW w:w="762" w:type="dxa"/>
            <w:tcBorders>
              <w:top w:val="single" w:color="000000" w:sz="4" w:space="0"/>
              <w:left w:val="single" w:color="000000" w:sz="4" w:space="0"/>
              <w:bottom w:val="single" w:color="000000" w:sz="4" w:space="0"/>
              <w:right w:val="single" w:color="000000" w:sz="4" w:space="0"/>
            </w:tcBorders>
            <w:vAlign w:val="center"/>
          </w:tcPr>
          <w:p w14:paraId="4E17ECC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w:t>
            </w:r>
          </w:p>
        </w:tc>
        <w:tc>
          <w:tcPr>
            <w:tcW w:w="4915" w:type="dxa"/>
            <w:tcBorders>
              <w:top w:val="single" w:color="000000" w:sz="4" w:space="0"/>
              <w:left w:val="single" w:color="000000" w:sz="4" w:space="0"/>
              <w:bottom w:val="single" w:color="000000" w:sz="4" w:space="0"/>
              <w:right w:val="single" w:color="auto" w:sz="4" w:space="0"/>
            </w:tcBorders>
            <w:vAlign w:val="center"/>
          </w:tcPr>
          <w:p w14:paraId="5DE4510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lang w:val="en-US"/>
              </w:rPr>
            </w:pPr>
            <w:r>
              <w:rPr>
                <w:rFonts w:hint="eastAsia" w:ascii="方正仿宋_GBK" w:hAnsi="方正仿宋_GBK" w:eastAsia="方正仿宋_GBK" w:cs="方正仿宋_GBK"/>
                <w:color w:val="auto"/>
                <w:sz w:val="21"/>
                <w:szCs w:val="21"/>
                <w:lang w:eastAsia="zh-CN"/>
              </w:rPr>
              <w:t>项目实施主体建立自筹资金财务专账管理，按照项目要求财务资料规范、齐全的得</w:t>
            </w:r>
            <w:r>
              <w:rPr>
                <w:rFonts w:hint="eastAsia" w:ascii="方正仿宋_GBK" w:hAnsi="方正仿宋_GBK" w:eastAsia="方正仿宋_GBK" w:cs="方正仿宋_GBK"/>
                <w:color w:val="auto"/>
                <w:sz w:val="21"/>
                <w:szCs w:val="21"/>
                <w:lang w:val="en-US" w:eastAsia="zh-CN"/>
              </w:rPr>
              <w:t>5分，不完善的得2分。</w:t>
            </w:r>
          </w:p>
        </w:tc>
        <w:tc>
          <w:tcPr>
            <w:tcW w:w="774" w:type="dxa"/>
            <w:tcBorders>
              <w:top w:val="single" w:color="000000" w:sz="4" w:space="0"/>
              <w:left w:val="single" w:color="auto" w:sz="4" w:space="0"/>
              <w:bottom w:val="single" w:color="000000" w:sz="4" w:space="0"/>
              <w:right w:val="single" w:color="000000" w:sz="4" w:space="0"/>
            </w:tcBorders>
            <w:vAlign w:val="center"/>
          </w:tcPr>
          <w:p w14:paraId="208D1CD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24232F59">
        <w:tblPrEx>
          <w:tblCellMar>
            <w:top w:w="15" w:type="dxa"/>
            <w:left w:w="15" w:type="dxa"/>
            <w:bottom w:w="15" w:type="dxa"/>
            <w:right w:w="15" w:type="dxa"/>
          </w:tblCellMar>
        </w:tblPrEx>
        <w:trPr>
          <w:trHeight w:val="537"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7C0AE3E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935" w:type="dxa"/>
            <w:vMerge w:val="continue"/>
            <w:tcBorders>
              <w:left w:val="single" w:color="000000" w:sz="4" w:space="0"/>
              <w:bottom w:val="single" w:color="000000" w:sz="4" w:space="0"/>
              <w:right w:val="single" w:color="000000" w:sz="4" w:space="0"/>
            </w:tcBorders>
            <w:vAlign w:val="center"/>
          </w:tcPr>
          <w:p w14:paraId="465A5E8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505F04C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资金使用</w:t>
            </w:r>
          </w:p>
        </w:tc>
        <w:tc>
          <w:tcPr>
            <w:tcW w:w="762" w:type="dxa"/>
            <w:tcBorders>
              <w:top w:val="single" w:color="000000" w:sz="4" w:space="0"/>
              <w:left w:val="single" w:color="000000" w:sz="4" w:space="0"/>
              <w:bottom w:val="single" w:color="000000" w:sz="4" w:space="0"/>
              <w:right w:val="single" w:color="000000" w:sz="4" w:space="0"/>
            </w:tcBorders>
            <w:vAlign w:val="center"/>
          </w:tcPr>
          <w:p w14:paraId="370752F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5</w:t>
            </w:r>
          </w:p>
        </w:tc>
        <w:tc>
          <w:tcPr>
            <w:tcW w:w="4915" w:type="dxa"/>
            <w:tcBorders>
              <w:top w:val="single" w:color="000000" w:sz="4" w:space="0"/>
              <w:left w:val="single" w:color="000000" w:sz="4" w:space="0"/>
              <w:bottom w:val="single" w:color="000000" w:sz="4" w:space="0"/>
              <w:right w:val="single" w:color="auto" w:sz="4" w:space="0"/>
            </w:tcBorders>
            <w:vAlign w:val="center"/>
          </w:tcPr>
          <w:p w14:paraId="13FD6DA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奖补</w:t>
            </w:r>
            <w:r>
              <w:rPr>
                <w:rFonts w:hint="eastAsia" w:ascii="方正仿宋_GBK" w:hAnsi="方正仿宋_GBK" w:eastAsia="方正仿宋_GBK" w:cs="方正仿宋_GBK"/>
                <w:color w:val="auto"/>
                <w:sz w:val="21"/>
                <w:szCs w:val="21"/>
              </w:rPr>
              <w:t>资金使用规范</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rPr>
              <w:t>专款专用</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及时拨付</w:t>
            </w:r>
            <w:r>
              <w:rPr>
                <w:rFonts w:hint="eastAsia" w:ascii="方正仿宋_GBK" w:hAnsi="方正仿宋_GBK" w:eastAsia="方正仿宋_GBK" w:cs="方正仿宋_GBK"/>
                <w:color w:val="auto"/>
                <w:sz w:val="21"/>
                <w:szCs w:val="21"/>
              </w:rPr>
              <w:t>得5分，</w:t>
            </w:r>
            <w:r>
              <w:rPr>
                <w:rFonts w:hint="eastAsia" w:ascii="方正仿宋_GBK" w:hAnsi="方正仿宋_GBK" w:eastAsia="方正仿宋_GBK" w:cs="方正仿宋_GBK"/>
                <w:color w:val="auto"/>
                <w:sz w:val="21"/>
                <w:szCs w:val="21"/>
                <w:lang w:val="en-US" w:eastAsia="zh-CN"/>
              </w:rPr>
              <w:t>缺一项扣1分，</w:t>
            </w:r>
            <w:r>
              <w:rPr>
                <w:rFonts w:hint="eastAsia" w:ascii="方正仿宋_GBK" w:hAnsi="方正仿宋_GBK" w:eastAsia="方正仿宋_GBK" w:cs="方正仿宋_GBK"/>
                <w:color w:val="auto"/>
                <w:sz w:val="21"/>
                <w:szCs w:val="21"/>
              </w:rPr>
              <w:t>否则不得分。</w:t>
            </w:r>
          </w:p>
        </w:tc>
        <w:tc>
          <w:tcPr>
            <w:tcW w:w="774" w:type="dxa"/>
            <w:tcBorders>
              <w:top w:val="single" w:color="000000" w:sz="4" w:space="0"/>
              <w:left w:val="single" w:color="auto" w:sz="4" w:space="0"/>
              <w:bottom w:val="single" w:color="000000" w:sz="4" w:space="0"/>
              <w:right w:val="single" w:color="000000" w:sz="4" w:space="0"/>
            </w:tcBorders>
            <w:vAlign w:val="center"/>
          </w:tcPr>
          <w:p w14:paraId="60CC61E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23D80967">
        <w:tblPrEx>
          <w:tblCellMar>
            <w:top w:w="15" w:type="dxa"/>
            <w:left w:w="15" w:type="dxa"/>
            <w:bottom w:w="15" w:type="dxa"/>
            <w:right w:w="15" w:type="dxa"/>
          </w:tblCellMar>
        </w:tblPrEx>
        <w:trPr>
          <w:trHeight w:val="572" w:hRule="atLeast"/>
        </w:trPr>
        <w:tc>
          <w:tcPr>
            <w:tcW w:w="946" w:type="dxa"/>
            <w:vMerge w:val="restart"/>
            <w:tcBorders>
              <w:top w:val="single" w:color="000000" w:sz="4" w:space="0"/>
              <w:left w:val="single" w:color="000000" w:sz="4" w:space="0"/>
              <w:bottom w:val="single" w:color="000000" w:sz="4" w:space="0"/>
              <w:right w:val="single" w:color="000000" w:sz="4" w:space="0"/>
            </w:tcBorders>
            <w:vAlign w:val="center"/>
          </w:tcPr>
          <w:p w14:paraId="0FC9F28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center"/>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任务完成及效益</w:t>
            </w:r>
          </w:p>
          <w:p w14:paraId="1FBAEA3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65</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eastAsia="zh-CN"/>
              </w:rPr>
              <w:t>）</w:t>
            </w:r>
          </w:p>
        </w:tc>
        <w:tc>
          <w:tcPr>
            <w:tcW w:w="935" w:type="dxa"/>
            <w:vMerge w:val="restart"/>
            <w:tcBorders>
              <w:top w:val="single" w:color="000000" w:sz="4" w:space="0"/>
              <w:left w:val="single" w:color="000000" w:sz="4" w:space="0"/>
              <w:right w:val="single" w:color="000000" w:sz="4" w:space="0"/>
            </w:tcBorders>
            <w:vAlign w:val="center"/>
          </w:tcPr>
          <w:p w14:paraId="222948E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任务完成情况</w:t>
            </w:r>
            <w:r>
              <w:rPr>
                <w:rFonts w:hint="eastAsia" w:ascii="方正仿宋_GBK" w:hAnsi="方正仿宋_GBK" w:eastAsia="方正仿宋_GBK" w:cs="方正仿宋_GBK"/>
                <w:color w:val="auto"/>
                <w:sz w:val="21"/>
                <w:szCs w:val="21"/>
              </w:rPr>
              <w:t>（</w:t>
            </w:r>
            <w:r>
              <w:rPr>
                <w:rFonts w:hint="eastAsia" w:ascii="方正仿宋_GBK" w:hAnsi="方正仿宋_GBK" w:eastAsia="方正仿宋_GBK" w:cs="方正仿宋_GBK"/>
                <w:color w:val="auto"/>
                <w:sz w:val="21"/>
                <w:szCs w:val="21"/>
                <w:lang w:val="en-US" w:eastAsia="zh-CN"/>
              </w:rPr>
              <w:t>30</w:t>
            </w:r>
            <w:r>
              <w:rPr>
                <w:rFonts w:hint="eastAsia" w:ascii="方正仿宋_GBK" w:hAnsi="方正仿宋_GBK" w:eastAsia="方正仿宋_GBK" w:cs="方正仿宋_GBK"/>
                <w:color w:val="auto"/>
                <w:sz w:val="21"/>
                <w:szCs w:val="21"/>
              </w:rPr>
              <w:t>）</w:t>
            </w:r>
          </w:p>
        </w:tc>
        <w:tc>
          <w:tcPr>
            <w:tcW w:w="1141" w:type="dxa"/>
            <w:tcBorders>
              <w:top w:val="single" w:color="000000" w:sz="4" w:space="0"/>
              <w:left w:val="single" w:color="000000" w:sz="4" w:space="0"/>
              <w:bottom w:val="single" w:color="000000" w:sz="4" w:space="0"/>
              <w:right w:val="single" w:color="000000" w:sz="4" w:space="0"/>
            </w:tcBorders>
            <w:vAlign w:val="center"/>
          </w:tcPr>
          <w:p w14:paraId="6054562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数量指标</w:t>
            </w:r>
          </w:p>
        </w:tc>
        <w:tc>
          <w:tcPr>
            <w:tcW w:w="762" w:type="dxa"/>
            <w:tcBorders>
              <w:top w:val="single" w:color="000000" w:sz="4" w:space="0"/>
              <w:left w:val="single" w:color="000000" w:sz="4" w:space="0"/>
              <w:bottom w:val="single" w:color="000000" w:sz="4" w:space="0"/>
              <w:right w:val="single" w:color="000000" w:sz="4" w:space="0"/>
            </w:tcBorders>
            <w:vAlign w:val="center"/>
          </w:tcPr>
          <w:p w14:paraId="0F8A80B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15</w:t>
            </w:r>
          </w:p>
        </w:tc>
        <w:tc>
          <w:tcPr>
            <w:tcW w:w="4915" w:type="dxa"/>
            <w:tcBorders>
              <w:top w:val="single" w:color="000000" w:sz="4" w:space="0"/>
              <w:left w:val="single" w:color="000000" w:sz="4" w:space="0"/>
              <w:bottom w:val="single" w:color="000000" w:sz="4" w:space="0"/>
              <w:right w:val="single" w:color="auto" w:sz="4" w:space="0"/>
            </w:tcBorders>
            <w:vAlign w:val="center"/>
          </w:tcPr>
          <w:p w14:paraId="40099D5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按项目</w:t>
            </w:r>
            <w:r>
              <w:rPr>
                <w:rFonts w:hint="eastAsia" w:ascii="方正仿宋_GBK" w:hAnsi="方正仿宋_GBK" w:eastAsia="方正仿宋_GBK" w:cs="方正仿宋_GBK"/>
                <w:color w:val="auto"/>
                <w:sz w:val="21"/>
                <w:szCs w:val="21"/>
                <w:lang w:eastAsia="zh-CN"/>
              </w:rPr>
              <w:t>实施内容</w:t>
            </w:r>
            <w:r>
              <w:rPr>
                <w:rFonts w:hint="eastAsia" w:ascii="方正仿宋_GBK" w:hAnsi="方正仿宋_GBK" w:eastAsia="方正仿宋_GBK" w:cs="方正仿宋_GBK"/>
                <w:color w:val="auto"/>
                <w:sz w:val="21"/>
                <w:szCs w:val="21"/>
              </w:rPr>
              <w:t>要求，</w:t>
            </w:r>
            <w:r>
              <w:rPr>
                <w:rFonts w:hint="eastAsia" w:ascii="方正仿宋_GBK" w:hAnsi="方正仿宋_GBK" w:eastAsia="方正仿宋_GBK" w:cs="方正仿宋_GBK"/>
                <w:color w:val="auto"/>
                <w:sz w:val="21"/>
                <w:szCs w:val="21"/>
                <w:lang w:eastAsia="zh-CN"/>
              </w:rPr>
              <w:t>完成全部项目</w:t>
            </w:r>
            <w:r>
              <w:rPr>
                <w:rFonts w:hint="eastAsia" w:ascii="方正仿宋_GBK" w:hAnsi="方正仿宋_GBK" w:eastAsia="方正仿宋_GBK" w:cs="方正仿宋_GBK"/>
                <w:color w:val="auto"/>
                <w:sz w:val="21"/>
                <w:szCs w:val="21"/>
                <w:lang w:val="en-US" w:eastAsia="zh-CN"/>
              </w:rPr>
              <w:t>建设内容及投资的</w:t>
            </w:r>
            <w:r>
              <w:rPr>
                <w:rFonts w:hint="eastAsia" w:ascii="方正仿宋_GBK" w:hAnsi="方正仿宋_GBK" w:eastAsia="方正仿宋_GBK" w:cs="方正仿宋_GBK"/>
                <w:color w:val="auto"/>
                <w:sz w:val="21"/>
                <w:szCs w:val="21"/>
              </w:rPr>
              <w:t>得15分，</w:t>
            </w:r>
            <w:r>
              <w:rPr>
                <w:rFonts w:hint="eastAsia" w:ascii="方正仿宋_GBK" w:hAnsi="方正仿宋_GBK" w:eastAsia="方正仿宋_GBK" w:cs="方正仿宋_GBK"/>
                <w:color w:val="auto"/>
                <w:sz w:val="21"/>
                <w:szCs w:val="21"/>
                <w:lang w:eastAsia="zh-CN"/>
              </w:rPr>
              <w:t>按照投资</w:t>
            </w:r>
            <w:r>
              <w:rPr>
                <w:rFonts w:hint="eastAsia" w:ascii="方正仿宋_GBK" w:hAnsi="方正仿宋_GBK" w:eastAsia="方正仿宋_GBK" w:cs="方正仿宋_GBK"/>
                <w:color w:val="auto"/>
                <w:sz w:val="21"/>
                <w:szCs w:val="21"/>
              </w:rPr>
              <w:t>每</w:t>
            </w:r>
            <w:r>
              <w:rPr>
                <w:rFonts w:hint="eastAsia" w:ascii="方正仿宋_GBK" w:hAnsi="方正仿宋_GBK" w:eastAsia="方正仿宋_GBK" w:cs="方正仿宋_GBK"/>
                <w:color w:val="auto"/>
                <w:sz w:val="21"/>
                <w:szCs w:val="21"/>
                <w:lang w:eastAsia="zh-CN"/>
              </w:rPr>
              <w:t>下降</w:t>
            </w:r>
            <w:r>
              <w:rPr>
                <w:rFonts w:hint="eastAsia" w:ascii="方正仿宋_GBK" w:hAnsi="方正仿宋_GBK" w:eastAsia="方正仿宋_GBK" w:cs="方正仿宋_GBK"/>
                <w:color w:val="auto"/>
                <w:sz w:val="21"/>
                <w:szCs w:val="21"/>
              </w:rPr>
              <w:t>5%，扣1分。</w:t>
            </w:r>
          </w:p>
        </w:tc>
        <w:tc>
          <w:tcPr>
            <w:tcW w:w="774" w:type="dxa"/>
            <w:tcBorders>
              <w:top w:val="single" w:color="000000" w:sz="4" w:space="0"/>
              <w:left w:val="single" w:color="auto" w:sz="4" w:space="0"/>
              <w:bottom w:val="single" w:color="000000" w:sz="4" w:space="0"/>
              <w:right w:val="single" w:color="000000" w:sz="4" w:space="0"/>
            </w:tcBorders>
            <w:vAlign w:val="center"/>
          </w:tcPr>
          <w:p w14:paraId="019EE46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133BD783">
        <w:tblPrEx>
          <w:tblCellMar>
            <w:top w:w="15" w:type="dxa"/>
            <w:left w:w="15" w:type="dxa"/>
            <w:bottom w:w="15" w:type="dxa"/>
            <w:right w:w="15" w:type="dxa"/>
          </w:tblCellMar>
        </w:tblPrEx>
        <w:trPr>
          <w:trHeight w:val="647"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0FFD89C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935" w:type="dxa"/>
            <w:vMerge w:val="continue"/>
            <w:tcBorders>
              <w:left w:val="single" w:color="000000" w:sz="4" w:space="0"/>
              <w:right w:val="single" w:color="000000" w:sz="4" w:space="0"/>
            </w:tcBorders>
            <w:vAlign w:val="center"/>
          </w:tcPr>
          <w:p w14:paraId="270CF5A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3765D09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质量指标</w:t>
            </w:r>
          </w:p>
        </w:tc>
        <w:tc>
          <w:tcPr>
            <w:tcW w:w="762" w:type="dxa"/>
            <w:tcBorders>
              <w:top w:val="single" w:color="000000" w:sz="4" w:space="0"/>
              <w:left w:val="single" w:color="000000" w:sz="4" w:space="0"/>
              <w:bottom w:val="single" w:color="000000" w:sz="4" w:space="0"/>
              <w:right w:val="single" w:color="000000" w:sz="4" w:space="0"/>
            </w:tcBorders>
            <w:vAlign w:val="center"/>
          </w:tcPr>
          <w:p w14:paraId="381B9CB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10</w:t>
            </w:r>
          </w:p>
        </w:tc>
        <w:tc>
          <w:tcPr>
            <w:tcW w:w="4915" w:type="dxa"/>
            <w:tcBorders>
              <w:top w:val="single" w:color="000000" w:sz="4" w:space="0"/>
              <w:left w:val="single" w:color="000000" w:sz="4" w:space="0"/>
              <w:bottom w:val="single" w:color="000000" w:sz="4" w:space="0"/>
              <w:right w:val="single" w:color="auto" w:sz="4" w:space="0"/>
            </w:tcBorders>
            <w:vAlign w:val="center"/>
          </w:tcPr>
          <w:p w14:paraId="4936758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在项目规定时间内实施完毕</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完成工程质量竣工验收报告</w:t>
            </w:r>
            <w:r>
              <w:rPr>
                <w:rFonts w:hint="eastAsia" w:ascii="方正仿宋_GBK" w:hAnsi="方正仿宋_GBK" w:eastAsia="方正仿宋_GBK" w:cs="方正仿宋_GBK"/>
                <w:color w:val="auto"/>
                <w:sz w:val="21"/>
                <w:szCs w:val="21"/>
              </w:rPr>
              <w:t>，得10分，没按时报送扣3分，</w:t>
            </w:r>
            <w:r>
              <w:rPr>
                <w:rFonts w:hint="eastAsia" w:ascii="方正仿宋_GBK" w:hAnsi="方正仿宋_GBK" w:eastAsia="方正仿宋_GBK" w:cs="方正仿宋_GBK"/>
                <w:color w:val="auto"/>
                <w:sz w:val="21"/>
                <w:szCs w:val="21"/>
                <w:lang w:val="en-US" w:eastAsia="zh-CN"/>
              </w:rPr>
              <w:t>自评结果</w:t>
            </w:r>
            <w:r>
              <w:rPr>
                <w:rFonts w:hint="eastAsia" w:ascii="方正仿宋_GBK" w:hAnsi="方正仿宋_GBK" w:eastAsia="方正仿宋_GBK" w:cs="方正仿宋_GBK"/>
                <w:color w:val="auto"/>
                <w:sz w:val="21"/>
                <w:szCs w:val="21"/>
              </w:rPr>
              <w:t>不规范酌情扣分，</w:t>
            </w:r>
            <w:r>
              <w:rPr>
                <w:rFonts w:hint="eastAsia" w:ascii="方正仿宋_GBK" w:hAnsi="方正仿宋_GBK" w:eastAsia="方正仿宋_GBK" w:cs="方正仿宋_GBK"/>
                <w:color w:val="auto"/>
                <w:sz w:val="21"/>
                <w:szCs w:val="21"/>
                <w:lang w:val="en-US" w:eastAsia="zh-CN"/>
              </w:rPr>
              <w:t>未</w:t>
            </w:r>
            <w:r>
              <w:rPr>
                <w:rFonts w:hint="eastAsia" w:ascii="方正仿宋_GBK" w:hAnsi="方正仿宋_GBK" w:eastAsia="方正仿宋_GBK" w:cs="方正仿宋_GBK"/>
                <w:color w:val="auto"/>
                <w:sz w:val="21"/>
                <w:szCs w:val="21"/>
              </w:rPr>
              <w:t>自评</w:t>
            </w:r>
            <w:r>
              <w:rPr>
                <w:rFonts w:hint="eastAsia" w:ascii="方正仿宋_GBK" w:hAnsi="方正仿宋_GBK" w:eastAsia="方正仿宋_GBK" w:cs="方正仿宋_GBK"/>
                <w:color w:val="auto"/>
                <w:sz w:val="21"/>
                <w:szCs w:val="21"/>
                <w:lang w:val="en-US" w:eastAsia="zh-CN"/>
              </w:rPr>
              <w:t>的</w:t>
            </w:r>
            <w:r>
              <w:rPr>
                <w:rFonts w:hint="eastAsia" w:ascii="方正仿宋_GBK" w:hAnsi="方正仿宋_GBK" w:eastAsia="方正仿宋_GBK" w:cs="方正仿宋_GBK"/>
                <w:color w:val="auto"/>
                <w:sz w:val="21"/>
                <w:szCs w:val="21"/>
              </w:rPr>
              <w:t>不得分。</w:t>
            </w:r>
          </w:p>
        </w:tc>
        <w:tc>
          <w:tcPr>
            <w:tcW w:w="774" w:type="dxa"/>
            <w:tcBorders>
              <w:top w:val="single" w:color="000000" w:sz="4" w:space="0"/>
              <w:left w:val="single" w:color="auto" w:sz="4" w:space="0"/>
              <w:bottom w:val="single" w:color="000000" w:sz="4" w:space="0"/>
              <w:right w:val="single" w:color="000000" w:sz="4" w:space="0"/>
            </w:tcBorders>
            <w:vAlign w:val="center"/>
          </w:tcPr>
          <w:p w14:paraId="3D33809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r>
      <w:tr w14:paraId="2FCD58D9">
        <w:tblPrEx>
          <w:tblCellMar>
            <w:top w:w="15" w:type="dxa"/>
            <w:left w:w="15" w:type="dxa"/>
            <w:bottom w:w="15" w:type="dxa"/>
            <w:right w:w="15" w:type="dxa"/>
          </w:tblCellMar>
        </w:tblPrEx>
        <w:trPr>
          <w:trHeight w:val="635"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775B796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c>
          <w:tcPr>
            <w:tcW w:w="935" w:type="dxa"/>
            <w:vMerge w:val="continue"/>
            <w:tcBorders>
              <w:left w:val="single" w:color="000000" w:sz="4" w:space="0"/>
              <w:bottom w:val="single" w:color="000000" w:sz="4" w:space="0"/>
              <w:right w:val="single" w:color="000000" w:sz="4" w:space="0"/>
            </w:tcBorders>
            <w:vAlign w:val="center"/>
          </w:tcPr>
          <w:p w14:paraId="3589ECD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53E5A40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时效指标</w:t>
            </w:r>
          </w:p>
        </w:tc>
        <w:tc>
          <w:tcPr>
            <w:tcW w:w="762" w:type="dxa"/>
            <w:tcBorders>
              <w:top w:val="single" w:color="000000" w:sz="4" w:space="0"/>
              <w:left w:val="single" w:color="000000" w:sz="4" w:space="0"/>
              <w:bottom w:val="single" w:color="000000" w:sz="4" w:space="0"/>
              <w:right w:val="single" w:color="000000" w:sz="4" w:space="0"/>
            </w:tcBorders>
            <w:vAlign w:val="center"/>
          </w:tcPr>
          <w:p w14:paraId="2CBC321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w:t>
            </w:r>
          </w:p>
        </w:tc>
        <w:tc>
          <w:tcPr>
            <w:tcW w:w="4915" w:type="dxa"/>
            <w:tcBorders>
              <w:top w:val="single" w:color="000000" w:sz="4" w:space="0"/>
              <w:left w:val="single" w:color="000000" w:sz="4" w:space="0"/>
              <w:bottom w:val="single" w:color="000000" w:sz="4" w:space="0"/>
              <w:right w:val="single" w:color="auto" w:sz="4" w:space="0"/>
            </w:tcBorders>
            <w:vAlign w:val="center"/>
          </w:tcPr>
          <w:p w14:paraId="5355409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能按期完成项目建设内容和资金支付得5分，未按照要求完成的，每差一项扣1分。</w:t>
            </w:r>
          </w:p>
        </w:tc>
        <w:tc>
          <w:tcPr>
            <w:tcW w:w="774" w:type="dxa"/>
            <w:tcBorders>
              <w:top w:val="single" w:color="000000" w:sz="4" w:space="0"/>
              <w:left w:val="single" w:color="auto" w:sz="4" w:space="0"/>
              <w:bottom w:val="single" w:color="000000" w:sz="4" w:space="0"/>
              <w:right w:val="single" w:color="000000" w:sz="4" w:space="0"/>
            </w:tcBorders>
            <w:vAlign w:val="center"/>
          </w:tcPr>
          <w:p w14:paraId="644FA92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r>
      <w:tr w14:paraId="280CD6ED">
        <w:tblPrEx>
          <w:tblCellMar>
            <w:top w:w="15" w:type="dxa"/>
            <w:left w:w="15" w:type="dxa"/>
            <w:bottom w:w="15" w:type="dxa"/>
            <w:right w:w="15" w:type="dxa"/>
          </w:tblCellMar>
        </w:tblPrEx>
        <w:trPr>
          <w:trHeight w:val="415"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7AFEE48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c>
          <w:tcPr>
            <w:tcW w:w="935" w:type="dxa"/>
            <w:vMerge w:val="restart"/>
            <w:tcBorders>
              <w:top w:val="single" w:color="000000" w:sz="4" w:space="0"/>
              <w:left w:val="single" w:color="000000" w:sz="4" w:space="0"/>
              <w:bottom w:val="single" w:color="000000" w:sz="4" w:space="0"/>
              <w:right w:val="single" w:color="000000" w:sz="4" w:space="0"/>
            </w:tcBorders>
            <w:vAlign w:val="center"/>
          </w:tcPr>
          <w:p w14:paraId="005464F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效益指标（35）</w:t>
            </w:r>
          </w:p>
        </w:tc>
        <w:tc>
          <w:tcPr>
            <w:tcW w:w="1141" w:type="dxa"/>
            <w:tcBorders>
              <w:top w:val="single" w:color="000000" w:sz="4" w:space="0"/>
              <w:left w:val="single" w:color="000000" w:sz="4" w:space="0"/>
              <w:bottom w:val="single" w:color="000000" w:sz="4" w:space="0"/>
              <w:right w:val="single" w:color="000000" w:sz="4" w:space="0"/>
            </w:tcBorders>
            <w:vAlign w:val="center"/>
          </w:tcPr>
          <w:p w14:paraId="0560F29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经济效益</w:t>
            </w:r>
          </w:p>
        </w:tc>
        <w:tc>
          <w:tcPr>
            <w:tcW w:w="762" w:type="dxa"/>
            <w:tcBorders>
              <w:top w:val="single" w:color="000000" w:sz="4" w:space="0"/>
              <w:left w:val="single" w:color="000000" w:sz="4" w:space="0"/>
              <w:bottom w:val="single" w:color="000000" w:sz="4" w:space="0"/>
              <w:right w:val="single" w:color="000000" w:sz="4" w:space="0"/>
            </w:tcBorders>
            <w:vAlign w:val="center"/>
          </w:tcPr>
          <w:p w14:paraId="1EF6976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10</w:t>
            </w:r>
          </w:p>
        </w:tc>
        <w:tc>
          <w:tcPr>
            <w:tcW w:w="4915" w:type="dxa"/>
            <w:tcBorders>
              <w:top w:val="single" w:color="000000" w:sz="4" w:space="0"/>
              <w:left w:val="single" w:color="000000" w:sz="4" w:space="0"/>
              <w:bottom w:val="single" w:color="auto" w:sz="4" w:space="0"/>
              <w:right w:val="single" w:color="auto" w:sz="4" w:space="0"/>
            </w:tcBorders>
            <w:vAlign w:val="center"/>
          </w:tcPr>
          <w:p w14:paraId="0674AE8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lang w:val="en-US"/>
              </w:rPr>
            </w:pPr>
            <w:r>
              <w:rPr>
                <w:rFonts w:hint="eastAsia" w:ascii="方正仿宋_GBK" w:hAnsi="方正仿宋_GBK" w:eastAsia="方正仿宋_GBK" w:cs="方正仿宋_GBK"/>
                <w:color w:val="auto"/>
                <w:sz w:val="21"/>
                <w:szCs w:val="21"/>
                <w:lang w:val="en-US" w:eastAsia="zh-CN"/>
              </w:rPr>
              <w:t>项目实施主体养殖或综合投入成本降低2%以上，得10分，不足适当减分。</w:t>
            </w:r>
          </w:p>
        </w:tc>
        <w:tc>
          <w:tcPr>
            <w:tcW w:w="774" w:type="dxa"/>
            <w:tcBorders>
              <w:top w:val="single" w:color="000000" w:sz="4" w:space="0"/>
              <w:left w:val="single" w:color="auto" w:sz="4" w:space="0"/>
              <w:bottom w:val="single" w:color="000000" w:sz="4" w:space="0"/>
              <w:right w:val="single" w:color="000000" w:sz="4" w:space="0"/>
            </w:tcBorders>
            <w:vAlign w:val="center"/>
          </w:tcPr>
          <w:p w14:paraId="6C702BB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r>
      <w:tr w14:paraId="59C0023B">
        <w:tblPrEx>
          <w:tblCellMar>
            <w:top w:w="15" w:type="dxa"/>
            <w:left w:w="15" w:type="dxa"/>
            <w:bottom w:w="15" w:type="dxa"/>
            <w:right w:w="15" w:type="dxa"/>
          </w:tblCellMar>
        </w:tblPrEx>
        <w:trPr>
          <w:trHeight w:val="335"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0EC47CB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14:paraId="5D7EB55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727888D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社会效益</w:t>
            </w:r>
          </w:p>
        </w:tc>
        <w:tc>
          <w:tcPr>
            <w:tcW w:w="762" w:type="dxa"/>
            <w:tcBorders>
              <w:top w:val="single" w:color="000000" w:sz="4" w:space="0"/>
              <w:left w:val="single" w:color="000000" w:sz="4" w:space="0"/>
              <w:bottom w:val="single" w:color="000000" w:sz="4" w:space="0"/>
              <w:right w:val="single" w:color="000000" w:sz="4" w:space="0"/>
            </w:tcBorders>
            <w:vAlign w:val="center"/>
          </w:tcPr>
          <w:p w14:paraId="1AA8E8E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10</w:t>
            </w:r>
          </w:p>
        </w:tc>
        <w:tc>
          <w:tcPr>
            <w:tcW w:w="4915" w:type="dxa"/>
            <w:tcBorders>
              <w:top w:val="single" w:color="auto" w:sz="4" w:space="0"/>
              <w:left w:val="single" w:color="000000" w:sz="4" w:space="0"/>
              <w:bottom w:val="single" w:color="000000" w:sz="4" w:space="0"/>
              <w:right w:val="single" w:color="auto" w:sz="4" w:space="0"/>
            </w:tcBorders>
            <w:vAlign w:val="center"/>
          </w:tcPr>
          <w:p w14:paraId="3AD0897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带动和帮扶移民群众30户以上，得10分，每少5户扣1分。</w:t>
            </w:r>
          </w:p>
        </w:tc>
        <w:tc>
          <w:tcPr>
            <w:tcW w:w="774" w:type="dxa"/>
            <w:tcBorders>
              <w:top w:val="single" w:color="000000" w:sz="4" w:space="0"/>
              <w:left w:val="single" w:color="auto" w:sz="4" w:space="0"/>
              <w:bottom w:val="single" w:color="000000" w:sz="4" w:space="0"/>
              <w:right w:val="single" w:color="000000" w:sz="4" w:space="0"/>
            </w:tcBorders>
            <w:vAlign w:val="center"/>
          </w:tcPr>
          <w:p w14:paraId="5BEBB54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r>
      <w:tr w14:paraId="6ED72653">
        <w:tblPrEx>
          <w:tblCellMar>
            <w:top w:w="15" w:type="dxa"/>
            <w:left w:w="15" w:type="dxa"/>
            <w:bottom w:w="15" w:type="dxa"/>
            <w:right w:w="15" w:type="dxa"/>
          </w:tblCellMar>
        </w:tblPrEx>
        <w:trPr>
          <w:trHeight w:val="527" w:hRule="atLeast"/>
        </w:trPr>
        <w:tc>
          <w:tcPr>
            <w:tcW w:w="946" w:type="dxa"/>
            <w:vMerge w:val="continue"/>
            <w:tcBorders>
              <w:top w:val="single" w:color="000000" w:sz="4" w:space="0"/>
              <w:left w:val="single" w:color="000000" w:sz="4" w:space="0"/>
              <w:bottom w:val="single" w:color="000000" w:sz="4" w:space="0"/>
              <w:right w:val="single" w:color="000000" w:sz="4" w:space="0"/>
            </w:tcBorders>
            <w:vAlign w:val="center"/>
          </w:tcPr>
          <w:p w14:paraId="34B90E5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14:paraId="70F9755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671AF3F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生态效益</w:t>
            </w:r>
          </w:p>
        </w:tc>
        <w:tc>
          <w:tcPr>
            <w:tcW w:w="762" w:type="dxa"/>
            <w:tcBorders>
              <w:top w:val="single" w:color="000000" w:sz="4" w:space="0"/>
              <w:left w:val="single" w:color="000000" w:sz="4" w:space="0"/>
              <w:bottom w:val="single" w:color="000000" w:sz="4" w:space="0"/>
              <w:right w:val="single" w:color="000000" w:sz="4" w:space="0"/>
            </w:tcBorders>
            <w:vAlign w:val="center"/>
          </w:tcPr>
          <w:p w14:paraId="13FB12A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7</w:t>
            </w:r>
          </w:p>
        </w:tc>
        <w:tc>
          <w:tcPr>
            <w:tcW w:w="4915" w:type="dxa"/>
            <w:tcBorders>
              <w:top w:val="single" w:color="000000" w:sz="4" w:space="0"/>
              <w:left w:val="single" w:color="000000" w:sz="4" w:space="0"/>
              <w:bottom w:val="single" w:color="000000" w:sz="4" w:space="0"/>
              <w:right w:val="single" w:color="auto" w:sz="4" w:space="0"/>
            </w:tcBorders>
            <w:vAlign w:val="center"/>
          </w:tcPr>
          <w:p w14:paraId="5EBCC3D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粪污资源化利用设施配套完善并正常运行的得5分，被环保部门通报或发生环境污染事件的不得分。</w:t>
            </w:r>
          </w:p>
        </w:tc>
        <w:tc>
          <w:tcPr>
            <w:tcW w:w="774" w:type="dxa"/>
            <w:tcBorders>
              <w:top w:val="single" w:color="000000" w:sz="4" w:space="0"/>
              <w:left w:val="single" w:color="auto" w:sz="4" w:space="0"/>
              <w:bottom w:val="single" w:color="000000" w:sz="4" w:space="0"/>
              <w:right w:val="single" w:color="000000" w:sz="4" w:space="0"/>
            </w:tcBorders>
            <w:vAlign w:val="center"/>
          </w:tcPr>
          <w:p w14:paraId="4CDF1E7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r>
      <w:tr w14:paraId="603085F4">
        <w:tblPrEx>
          <w:tblCellMar>
            <w:top w:w="15" w:type="dxa"/>
            <w:left w:w="15" w:type="dxa"/>
            <w:bottom w:w="15" w:type="dxa"/>
            <w:right w:w="15" w:type="dxa"/>
          </w:tblCellMar>
        </w:tblPrEx>
        <w:trPr>
          <w:trHeight w:val="588" w:hRule="atLeast"/>
        </w:trPr>
        <w:tc>
          <w:tcPr>
            <w:tcW w:w="946" w:type="dxa"/>
            <w:vMerge w:val="continue"/>
            <w:tcBorders>
              <w:top w:val="single" w:color="000000" w:sz="4" w:space="0"/>
              <w:left w:val="single" w:color="000000" w:sz="4" w:space="0"/>
              <w:bottom w:val="single" w:color="auto" w:sz="4" w:space="0"/>
              <w:right w:val="single" w:color="000000" w:sz="4" w:space="0"/>
            </w:tcBorders>
            <w:vAlign w:val="center"/>
          </w:tcPr>
          <w:p w14:paraId="325EF2D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c>
          <w:tcPr>
            <w:tcW w:w="935" w:type="dxa"/>
            <w:vMerge w:val="continue"/>
            <w:tcBorders>
              <w:top w:val="single" w:color="000000" w:sz="4" w:space="0"/>
              <w:left w:val="single" w:color="000000" w:sz="4" w:space="0"/>
              <w:bottom w:val="single" w:color="000000" w:sz="4" w:space="0"/>
              <w:right w:val="single" w:color="000000" w:sz="4" w:space="0"/>
            </w:tcBorders>
            <w:vAlign w:val="center"/>
          </w:tcPr>
          <w:p w14:paraId="2D349C8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p>
        </w:tc>
        <w:tc>
          <w:tcPr>
            <w:tcW w:w="1141" w:type="dxa"/>
            <w:tcBorders>
              <w:top w:val="single" w:color="000000" w:sz="4" w:space="0"/>
              <w:left w:val="single" w:color="000000" w:sz="4" w:space="0"/>
              <w:bottom w:val="single" w:color="000000" w:sz="4" w:space="0"/>
              <w:right w:val="single" w:color="000000" w:sz="4" w:space="0"/>
            </w:tcBorders>
            <w:vAlign w:val="center"/>
          </w:tcPr>
          <w:p w14:paraId="34756B4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可持续影响</w:t>
            </w:r>
          </w:p>
        </w:tc>
        <w:tc>
          <w:tcPr>
            <w:tcW w:w="762" w:type="dxa"/>
            <w:tcBorders>
              <w:top w:val="single" w:color="000000" w:sz="4" w:space="0"/>
              <w:left w:val="single" w:color="000000" w:sz="4" w:space="0"/>
              <w:bottom w:val="single" w:color="000000" w:sz="4" w:space="0"/>
              <w:right w:val="single" w:color="000000" w:sz="4" w:space="0"/>
            </w:tcBorders>
            <w:vAlign w:val="center"/>
          </w:tcPr>
          <w:p w14:paraId="5DF963C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8</w:t>
            </w:r>
          </w:p>
        </w:tc>
        <w:tc>
          <w:tcPr>
            <w:tcW w:w="4915" w:type="dxa"/>
            <w:tcBorders>
              <w:top w:val="single" w:color="000000" w:sz="4" w:space="0"/>
              <w:left w:val="single" w:color="000000" w:sz="4" w:space="0"/>
              <w:bottom w:val="single" w:color="000000" w:sz="4" w:space="0"/>
              <w:right w:val="single" w:color="auto" w:sz="4" w:space="0"/>
            </w:tcBorders>
            <w:vAlign w:val="center"/>
          </w:tcPr>
          <w:p w14:paraId="7FEA5D4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eastAsia="zh-CN"/>
              </w:rPr>
              <w:t>通过项目实施，对项目实施主体有较大的促进</w:t>
            </w:r>
            <w:r>
              <w:rPr>
                <w:rFonts w:hint="eastAsia" w:ascii="方正仿宋_GBK" w:hAnsi="方正仿宋_GBK" w:eastAsia="方正仿宋_GBK" w:cs="方正仿宋_GBK"/>
                <w:color w:val="auto"/>
                <w:sz w:val="21"/>
                <w:szCs w:val="21"/>
                <w:lang w:val="en-US" w:eastAsia="zh-CN"/>
              </w:rPr>
              <w:t>和提升</w:t>
            </w:r>
            <w:r>
              <w:rPr>
                <w:rFonts w:hint="eastAsia" w:ascii="方正仿宋_GBK" w:hAnsi="方正仿宋_GBK" w:eastAsia="方正仿宋_GBK" w:cs="方正仿宋_GBK"/>
                <w:color w:val="auto"/>
                <w:sz w:val="21"/>
                <w:szCs w:val="21"/>
              </w:rPr>
              <w:t>得8分，否则酌情扣分。</w:t>
            </w:r>
          </w:p>
        </w:tc>
        <w:tc>
          <w:tcPr>
            <w:tcW w:w="774" w:type="dxa"/>
            <w:tcBorders>
              <w:top w:val="single" w:color="000000" w:sz="4" w:space="0"/>
              <w:left w:val="single" w:color="auto" w:sz="4" w:space="0"/>
              <w:bottom w:val="single" w:color="000000" w:sz="4" w:space="0"/>
              <w:right w:val="single" w:color="000000" w:sz="4" w:space="0"/>
            </w:tcBorders>
            <w:vAlign w:val="center"/>
          </w:tcPr>
          <w:p w14:paraId="2CD9E39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r>
      <w:tr w14:paraId="4E05632E">
        <w:tblPrEx>
          <w:tblCellMar>
            <w:top w:w="15" w:type="dxa"/>
            <w:left w:w="15" w:type="dxa"/>
            <w:bottom w:w="15" w:type="dxa"/>
            <w:right w:w="15" w:type="dxa"/>
          </w:tblCellMar>
        </w:tblPrEx>
        <w:trPr>
          <w:trHeight w:val="592" w:hRule="atLeast"/>
        </w:trPr>
        <w:tc>
          <w:tcPr>
            <w:tcW w:w="946" w:type="dxa"/>
            <w:tcBorders>
              <w:top w:val="single" w:color="auto" w:sz="4" w:space="0"/>
              <w:left w:val="single" w:color="000000" w:sz="4" w:space="0"/>
              <w:bottom w:val="single" w:color="auto" w:sz="4" w:space="0"/>
              <w:right w:val="single" w:color="auto" w:sz="4" w:space="0"/>
            </w:tcBorders>
            <w:vAlign w:val="center"/>
          </w:tcPr>
          <w:p w14:paraId="086668F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满意度</w:t>
            </w:r>
          </w:p>
          <w:p w14:paraId="03D4C95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lang w:val="en-US" w:eastAsia="zh-CN"/>
              </w:rPr>
            </w:pPr>
            <w:r>
              <w:rPr>
                <w:rFonts w:hint="eastAsia" w:ascii="方正仿宋_GBK" w:hAnsi="方正仿宋_GBK" w:eastAsia="方正仿宋_GBK" w:cs="方正仿宋_GBK"/>
                <w:color w:val="auto"/>
                <w:sz w:val="21"/>
                <w:szCs w:val="21"/>
                <w:lang w:val="en-US" w:eastAsia="zh-CN"/>
              </w:rPr>
              <w:t>（5分）</w:t>
            </w:r>
          </w:p>
        </w:tc>
        <w:tc>
          <w:tcPr>
            <w:tcW w:w="935" w:type="dxa"/>
            <w:tcBorders>
              <w:top w:val="single" w:color="000000" w:sz="4" w:space="0"/>
              <w:left w:val="single" w:color="auto" w:sz="4" w:space="0"/>
              <w:bottom w:val="single" w:color="auto" w:sz="4" w:space="0"/>
              <w:right w:val="single" w:color="000000" w:sz="4" w:space="0"/>
            </w:tcBorders>
            <w:vAlign w:val="center"/>
          </w:tcPr>
          <w:p w14:paraId="540EF97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满意度指标（</w:t>
            </w:r>
            <w:r>
              <w:rPr>
                <w:rFonts w:hint="eastAsia" w:ascii="方正仿宋_GBK" w:hAnsi="方正仿宋_GBK" w:eastAsia="方正仿宋_GBK" w:cs="方正仿宋_GBK"/>
                <w:color w:val="auto"/>
                <w:sz w:val="21"/>
                <w:szCs w:val="21"/>
                <w:lang w:val="en-US" w:eastAsia="zh-CN"/>
              </w:rPr>
              <w:t>5</w:t>
            </w:r>
            <w:r>
              <w:rPr>
                <w:rFonts w:hint="eastAsia" w:ascii="方正仿宋_GBK" w:hAnsi="方正仿宋_GBK" w:eastAsia="方正仿宋_GBK" w:cs="方正仿宋_GBK"/>
                <w:color w:val="auto"/>
                <w:sz w:val="21"/>
                <w:szCs w:val="21"/>
              </w:rPr>
              <w:t>分）</w:t>
            </w:r>
          </w:p>
        </w:tc>
        <w:tc>
          <w:tcPr>
            <w:tcW w:w="1141" w:type="dxa"/>
            <w:tcBorders>
              <w:top w:val="single" w:color="000000" w:sz="4" w:space="0"/>
              <w:left w:val="single" w:color="000000" w:sz="4" w:space="0"/>
              <w:bottom w:val="single" w:color="auto" w:sz="4" w:space="0"/>
              <w:right w:val="single" w:color="000000" w:sz="4" w:space="0"/>
            </w:tcBorders>
            <w:vAlign w:val="center"/>
          </w:tcPr>
          <w:p w14:paraId="62170DA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服务对象</w:t>
            </w:r>
          </w:p>
          <w:p w14:paraId="1018983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满意度</w:t>
            </w:r>
          </w:p>
        </w:tc>
        <w:tc>
          <w:tcPr>
            <w:tcW w:w="762" w:type="dxa"/>
            <w:tcBorders>
              <w:top w:val="single" w:color="000000" w:sz="4" w:space="0"/>
              <w:left w:val="single" w:color="000000" w:sz="4" w:space="0"/>
              <w:bottom w:val="single" w:color="auto" w:sz="4" w:space="0"/>
              <w:right w:val="single" w:color="000000" w:sz="4" w:space="0"/>
            </w:tcBorders>
            <w:vAlign w:val="center"/>
          </w:tcPr>
          <w:p w14:paraId="4EBE622A">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lang w:eastAsia="zh-CN"/>
              </w:rPr>
            </w:pPr>
            <w:r>
              <w:rPr>
                <w:rFonts w:hint="eastAsia" w:ascii="方正仿宋_GBK" w:hAnsi="方正仿宋_GBK" w:eastAsia="方正仿宋_GBK" w:cs="方正仿宋_GBK"/>
                <w:color w:val="auto"/>
                <w:sz w:val="21"/>
                <w:szCs w:val="21"/>
                <w:lang w:val="en-US" w:eastAsia="zh-CN"/>
              </w:rPr>
              <w:t>5</w:t>
            </w:r>
          </w:p>
        </w:tc>
        <w:tc>
          <w:tcPr>
            <w:tcW w:w="4915" w:type="dxa"/>
            <w:tcBorders>
              <w:top w:val="single" w:color="000000" w:sz="4" w:space="0"/>
              <w:left w:val="single" w:color="000000" w:sz="4" w:space="0"/>
              <w:bottom w:val="single" w:color="auto" w:sz="4" w:space="0"/>
              <w:right w:val="single" w:color="auto" w:sz="4" w:space="0"/>
            </w:tcBorders>
            <w:vAlign w:val="center"/>
          </w:tcPr>
          <w:p w14:paraId="787B0BF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jc w:val="left"/>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eastAsia="zh-CN"/>
              </w:rPr>
              <w:t>群众满意度</w:t>
            </w:r>
            <w:r>
              <w:rPr>
                <w:rFonts w:hint="eastAsia" w:ascii="方正仿宋_GBK" w:hAnsi="方正仿宋_GBK" w:eastAsia="方正仿宋_GBK" w:cs="方正仿宋_GBK"/>
                <w:color w:val="auto"/>
                <w:sz w:val="21"/>
                <w:szCs w:val="21"/>
              </w:rPr>
              <w:t>达到90%以上，得10分，每低于5%扣2分，扣完为止。</w:t>
            </w:r>
          </w:p>
        </w:tc>
        <w:tc>
          <w:tcPr>
            <w:tcW w:w="774" w:type="dxa"/>
            <w:tcBorders>
              <w:top w:val="single" w:color="000000" w:sz="4" w:space="0"/>
              <w:left w:val="single" w:color="auto" w:sz="4" w:space="0"/>
              <w:bottom w:val="single" w:color="auto" w:sz="4" w:space="0"/>
              <w:right w:val="single" w:color="000000" w:sz="4" w:space="0"/>
            </w:tcBorders>
            <w:vAlign w:val="center"/>
          </w:tcPr>
          <w:p w14:paraId="3DCC9A9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r>
      <w:tr w14:paraId="5418E898">
        <w:tblPrEx>
          <w:tblCellMar>
            <w:top w:w="15" w:type="dxa"/>
            <w:left w:w="15" w:type="dxa"/>
            <w:bottom w:w="15" w:type="dxa"/>
            <w:right w:w="15" w:type="dxa"/>
          </w:tblCellMar>
        </w:tblPrEx>
        <w:trPr>
          <w:trHeight w:val="618" w:hRule="atLeast"/>
        </w:trPr>
        <w:tc>
          <w:tcPr>
            <w:tcW w:w="3022" w:type="dxa"/>
            <w:gridSpan w:val="3"/>
            <w:tcBorders>
              <w:top w:val="single" w:color="auto" w:sz="4" w:space="0"/>
              <w:left w:val="single" w:color="000000" w:sz="4" w:space="0"/>
              <w:bottom w:val="single" w:color="auto" w:sz="4" w:space="0"/>
              <w:right w:val="single" w:color="000000" w:sz="4" w:space="0"/>
            </w:tcBorders>
            <w:vAlign w:val="center"/>
          </w:tcPr>
          <w:p w14:paraId="59CB45D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合计</w:t>
            </w:r>
          </w:p>
        </w:tc>
        <w:tc>
          <w:tcPr>
            <w:tcW w:w="762" w:type="dxa"/>
            <w:tcBorders>
              <w:top w:val="single" w:color="auto" w:sz="4" w:space="0"/>
              <w:left w:val="single" w:color="000000" w:sz="4" w:space="0"/>
              <w:bottom w:val="single" w:color="auto" w:sz="4" w:space="0"/>
              <w:right w:val="single" w:color="000000" w:sz="4" w:space="0"/>
            </w:tcBorders>
            <w:vAlign w:val="center"/>
          </w:tcPr>
          <w:p w14:paraId="02E7982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center"/>
              <w:textAlignment w:val="auto"/>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rPr>
              <w:t>100</w:t>
            </w:r>
          </w:p>
        </w:tc>
        <w:tc>
          <w:tcPr>
            <w:tcW w:w="4915" w:type="dxa"/>
            <w:tcBorders>
              <w:top w:val="single" w:color="auto" w:sz="4" w:space="0"/>
              <w:left w:val="single" w:color="000000" w:sz="4" w:space="0"/>
              <w:bottom w:val="single" w:color="auto" w:sz="4" w:space="0"/>
              <w:right w:val="single" w:color="auto" w:sz="4" w:space="0"/>
            </w:tcBorders>
            <w:vAlign w:val="center"/>
          </w:tcPr>
          <w:p w14:paraId="20780B4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c>
          <w:tcPr>
            <w:tcW w:w="774" w:type="dxa"/>
            <w:tcBorders>
              <w:top w:val="single" w:color="auto" w:sz="4" w:space="0"/>
              <w:left w:val="single" w:color="auto" w:sz="4" w:space="0"/>
              <w:bottom w:val="single" w:color="auto" w:sz="4" w:space="0"/>
              <w:right w:val="single" w:color="000000" w:sz="4" w:space="0"/>
            </w:tcBorders>
            <w:vAlign w:val="center"/>
          </w:tcPr>
          <w:p w14:paraId="3236C02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right="0" w:firstLine="0" w:firstLineChars="0"/>
              <w:jc w:val="both"/>
              <w:textAlignment w:val="auto"/>
              <w:rPr>
                <w:rFonts w:hint="eastAsia" w:ascii="方正仿宋_GBK" w:hAnsi="方正仿宋_GBK" w:eastAsia="方正仿宋_GBK" w:cs="方正仿宋_GBK"/>
                <w:color w:val="auto"/>
                <w:sz w:val="21"/>
                <w:szCs w:val="21"/>
              </w:rPr>
            </w:pPr>
          </w:p>
        </w:tc>
      </w:tr>
    </w:tbl>
    <w:p w14:paraId="70969D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60D237-964B-4FB2-BB87-181777909D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B8C0B25-C97D-4565-A888-D2BF8BC58F6D}"/>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embedRegular r:id="rId3" w:fontKey="{251DF740-6D22-4F5D-9C38-18E77EF84638}"/>
  </w:font>
  <w:font w:name="方正小标宋_GBK">
    <w:panose1 w:val="02000000000000000000"/>
    <w:charset w:val="86"/>
    <w:family w:val="auto"/>
    <w:pitch w:val="default"/>
    <w:sig w:usb0="A00002BF" w:usb1="38CF7CFA" w:usb2="00082016" w:usb3="00000000" w:csb0="00040001" w:csb1="00000000"/>
    <w:embedRegular r:id="rId4" w:fontKey="{EA3294C8-5711-4649-A638-AEC958E62855}"/>
  </w:font>
  <w:font w:name="楷体">
    <w:panose1 w:val="02010609060101010101"/>
    <w:charset w:val="86"/>
    <w:family w:val="auto"/>
    <w:pitch w:val="default"/>
    <w:sig w:usb0="800002BF" w:usb1="38CF7CFA" w:usb2="00000016" w:usb3="00000000" w:csb0="00040001" w:csb1="00000000"/>
    <w:embedRegular r:id="rId5" w:fontKey="{FE5F1CBA-9F98-403C-844B-57645D944CAC}"/>
  </w:font>
  <w:font w:name="方正楷体_GBK">
    <w:panose1 w:val="02000000000000000000"/>
    <w:charset w:val="86"/>
    <w:family w:val="auto"/>
    <w:pitch w:val="default"/>
    <w:sig w:usb0="800002BF" w:usb1="38CF7CFA" w:usb2="00000016" w:usb3="00000000" w:csb0="00040000" w:csb1="00000000"/>
    <w:embedRegular r:id="rId6" w:fontKey="{15A7C56B-6B16-47D4-8884-D197961BF928}"/>
  </w:font>
  <w:font w:name="Arial Unicode MS">
    <w:panose1 w:val="020B0604020202020204"/>
    <w:charset w:val="86"/>
    <w:family w:val="auto"/>
    <w:pitch w:val="default"/>
    <w:sig w:usb0="FFFFFFFF" w:usb1="E9FFFFFF" w:usb2="0000003F" w:usb3="00000000" w:csb0="603F01FF" w:csb1="FFFF0000"/>
    <w:embedRegular r:id="rId7" w:fontKey="{59100940-808A-4CE0-9038-FB41DD69E8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7270B"/>
    <w:rsid w:val="2B872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beforeLines="0" w:after="60" w:afterLines="0"/>
      <w:jc w:val="center"/>
      <w:outlineLvl w:val="0"/>
    </w:pPr>
    <w:rPr>
      <w:rFonts w:ascii="Cambria" w:hAnsi="Cambria" w:eastAsiaTheme="minorEastAsia" w:cstheme="minorBidi"/>
      <w:b/>
      <w:bCs/>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2025-07-04T00:47:00Z</dcterms:created>
  <dc:creator>徐海珍</dc:creator>
  <cp:lastModifiedBy>徐海珍</cp:lastModifiedBy>
  <dcterms:modified xsi:type="dcterms:W3CDTF">2025-07-04T00:52:47Z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AAC37AA2969C43BA9F825124D50D7347_11</vt:lpwstr>
  </property>
  <property fmtid="{D5CDD505-2E9C-101B-9397-08002B2CF9AE}" pid="4" name="KSOTemplateDocerSaveRecord">
    <vt:lpwstr>eyJoZGlkIjoiMzEwNTM5NzYwMDRjMzkwZTVkZjY2ODkwMGIxNGU0OTUiLCJ1c2VySWQiOiIyOTgwNDAyNTIifQ==</vt:lpwstr>
  </property>
</Properties>
</file>