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rightChars="0"/>
        <w:jc w:val="left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right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青铜峡市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农业生产托管项目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right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绩效评价工作方案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根据农业农村部办公厅、财政部办公厅《关于进一步做好农业生产社会化服务工作的通知》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（农办计财〔2019〕54号）的文件精神，促进小农户与现代农业有机衔接，推进农业生产托管和服务上水平，扎实推进我市农业生产托管服务试点工作，结合我市开展农业生产托管，特制定本方案。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一、绩效评价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</w:rPr>
        <w:t>一是科学规范，客观公正。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按照“公开、公平、公正”的要求科学制定评估程序和方法，量化考核内容和标准，全面、准确、客观地衡量工作绩效。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</w:rPr>
        <w:t>二是简便易行，稳步推进。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选择能够衡量政策项目绩效，具有权威性和代表性的关键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环节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，易于操作和衡量，评估方法和程序要科学简便，按计划稳步推进。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</w:rPr>
        <w:t>三是定量定性，综合评价。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评估指标尽量量化，不能量化的定性指标明确评估标准，对每个合理赋分，有效实现对政策项目绩效的综合评价。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绩效评价对象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全市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农业生产托管的项目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工作的社会化服务组织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、绩效评价方式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绩效评价采取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承担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的社会化服务组织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自评，市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抽查的方式进行。主要通过听取汇报、查阅有关实证资料、现场实地查看、座谈询问、随机入户调查、问卷调查、电话抽查等方式，对项目实施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主体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总体情况进行评价。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、绩效评价内容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绩效评价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围绕我市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小麦、玉米、玉米大豆带状复合种植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葡萄、饲草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等产业各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环节的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项目资金使用管理的完备性、经济性、效率性、效益性和公平性进行综合评价，包括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小农户生产托管服务粮食生产的耕、防、收、贮等环节的补助；农业适度规模经营主体托管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小麦、玉米、玉米大豆带状复合种植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葡萄、苹果、饲草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主要农作物的全程或关键薄弱环节的补助。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（一）项目投入情况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主体责任落实情况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（1）项目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实施主体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责任，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项目实施服务组织起草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（2）项目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实施主体成立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农业生产托管项目领导机构。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（二）项目实施管理情况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（3）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农业农村（农经）管理部门与项目服务组织签订服务协议。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）服务组织编制有详细的项目实施方案，在协议中包括服务组织的基本情况、项目实施内容、服务方式及项目区位置示意图、服务图表资料等。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）服务组织与农户签订服务合同，合同要明确服务地块、服务内容、作业时间、质量要求等。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）服务组织按照服务合同要求按质按量提供作业服务，并建立作业清单台账。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）项目区域内服务对象满意度达到80%以上。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2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）建立托管服务组织名录管理制度，对服务组织进行动态监测。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）制定符合当地实际的服务标准或服务规范，并编制成操作手册、明白纸或明白卡。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）对服务主体履约情况进行跟踪监测，对托管价格进行指导。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）对服务数量质量应由服务对象、农村集体经济组织签字或盖章认可，具备条件的可引入相关专业部门或第三方评价监督，对不符合要求、群众不满意的服务组织，及时予以通报并督促改正。（1分）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3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项目总结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）形成完整的项目档案资料。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）提出符合当地实际的农业生产托管模式，提出实施过程中存在的问题及改进措施。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）项目实施过程的关键节点形成动态影像资料，刻成光盘报送。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（三）项目任务完成情况</w:t>
      </w:r>
      <w:r>
        <w:rPr>
          <w:rFonts w:hint="eastAsia" w:ascii="楷体" w:hAnsi="楷体" w:eastAsia="楷体" w:cs="楷体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项目任务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）项目实施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小麦、玉米、玉米大豆带状复合种植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葡萄、苹果、饲草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等作物生产。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2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项目补助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）补助对象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，其中：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玉米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水稻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饲草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；小麦，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玉米大豆复合种植，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；苹果，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补助金额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）补助金额占市场服务价格的比例：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小农户托管服务站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60%，农业适度经营主体托管服务40%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。单季作物亩均补助规模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（四）项目成效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政策宣传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）召开农业生产托管会议、培训并及时总结推广好经验、好做法，发挥典型示范引领作用。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）深入田间地头、发放宣传资料、印刷醒目宣传标语等方式对农业生产托管相关政策进行宣传。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）开展农业生产托管的做法经验得到自治区、市、县媒体报道及上级部门的肯定。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2</w:t>
      </w:r>
      <w:r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项目效益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）服务承包经营农户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户，服务承包经营农户面积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亩，占全县承包农户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%，服务规模经营主体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个，面积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节约生产成本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万元 ，增加粮食产量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万斤，增加农民收入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）群众满意度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>90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以上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有关要求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各项目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实施服务主体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要按照项目绩效评价方案的要求，切实做好农业生产托管项目工作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并项目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工作总结。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市农业农村局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将会同相关部门依据本工作方案，组织开展年度农业生产托管项目绩效评价工作。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绩效评价通过听取汇报、查阅资料、实地考察等，针对项目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服务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内容开展情况、实施效果、验收情况、资金兑付、档案存档情况等，整理出绩效评价资料和数据，根据绩效评价方案（试行）逐一进行量化打分，形成初步评价结论，并客观公正地撰写绩效评价报告。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实施主体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在项目实施完成后，对照评价方案指标自评打分，形成自评报告上报，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市农业农村局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将会同相关部门在现场查验核实的基础上进行综合评估。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NjBjYTI0ZDk1MWQ3YjIxNjM0MzI1MGMwMjcxNWIifQ=="/>
  </w:docVars>
  <w:rsids>
    <w:rsidRoot w:val="008A241E"/>
    <w:rsid w:val="00003358"/>
    <w:rsid w:val="000108EA"/>
    <w:rsid w:val="00016B43"/>
    <w:rsid w:val="000227D0"/>
    <w:rsid w:val="00045079"/>
    <w:rsid w:val="00051918"/>
    <w:rsid w:val="000A366D"/>
    <w:rsid w:val="000A3D81"/>
    <w:rsid w:val="000C64BC"/>
    <w:rsid w:val="000E5921"/>
    <w:rsid w:val="000F4BB1"/>
    <w:rsid w:val="00106A38"/>
    <w:rsid w:val="00111F25"/>
    <w:rsid w:val="00135E38"/>
    <w:rsid w:val="00171720"/>
    <w:rsid w:val="00175E02"/>
    <w:rsid w:val="00184EBA"/>
    <w:rsid w:val="001C5E1F"/>
    <w:rsid w:val="001D41CD"/>
    <w:rsid w:val="001D749E"/>
    <w:rsid w:val="001E0596"/>
    <w:rsid w:val="001E1B5A"/>
    <w:rsid w:val="00207C23"/>
    <w:rsid w:val="00214573"/>
    <w:rsid w:val="0021490B"/>
    <w:rsid w:val="00227BD8"/>
    <w:rsid w:val="00227F61"/>
    <w:rsid w:val="002701D4"/>
    <w:rsid w:val="00274041"/>
    <w:rsid w:val="00286D83"/>
    <w:rsid w:val="002C7986"/>
    <w:rsid w:val="002D1AA9"/>
    <w:rsid w:val="002D2ACA"/>
    <w:rsid w:val="002F0F9E"/>
    <w:rsid w:val="002F4D4C"/>
    <w:rsid w:val="00304BE6"/>
    <w:rsid w:val="003314A4"/>
    <w:rsid w:val="00333747"/>
    <w:rsid w:val="00370481"/>
    <w:rsid w:val="00373EC4"/>
    <w:rsid w:val="0039003E"/>
    <w:rsid w:val="00396F97"/>
    <w:rsid w:val="003A35EA"/>
    <w:rsid w:val="003A4978"/>
    <w:rsid w:val="003E3D97"/>
    <w:rsid w:val="003E7FBF"/>
    <w:rsid w:val="003F38A7"/>
    <w:rsid w:val="00404C17"/>
    <w:rsid w:val="004119C0"/>
    <w:rsid w:val="00437B60"/>
    <w:rsid w:val="00451A0E"/>
    <w:rsid w:val="00494207"/>
    <w:rsid w:val="004A0F6E"/>
    <w:rsid w:val="004D567F"/>
    <w:rsid w:val="004E4D2F"/>
    <w:rsid w:val="004F717F"/>
    <w:rsid w:val="00514EEF"/>
    <w:rsid w:val="00522F14"/>
    <w:rsid w:val="00543388"/>
    <w:rsid w:val="00580CB4"/>
    <w:rsid w:val="005D5339"/>
    <w:rsid w:val="005D5BBE"/>
    <w:rsid w:val="005D6A70"/>
    <w:rsid w:val="00611A34"/>
    <w:rsid w:val="0061683F"/>
    <w:rsid w:val="0062252F"/>
    <w:rsid w:val="006635FE"/>
    <w:rsid w:val="00677BC2"/>
    <w:rsid w:val="00680D42"/>
    <w:rsid w:val="006A4E61"/>
    <w:rsid w:val="006C2786"/>
    <w:rsid w:val="006D0C51"/>
    <w:rsid w:val="0070351F"/>
    <w:rsid w:val="0070387E"/>
    <w:rsid w:val="007320A6"/>
    <w:rsid w:val="00755A93"/>
    <w:rsid w:val="00765135"/>
    <w:rsid w:val="007879B2"/>
    <w:rsid w:val="007C5192"/>
    <w:rsid w:val="007D2141"/>
    <w:rsid w:val="007E2318"/>
    <w:rsid w:val="007E431F"/>
    <w:rsid w:val="007E5B29"/>
    <w:rsid w:val="008A241E"/>
    <w:rsid w:val="008A54F2"/>
    <w:rsid w:val="008B45FF"/>
    <w:rsid w:val="008C75E9"/>
    <w:rsid w:val="008E0024"/>
    <w:rsid w:val="008E51DE"/>
    <w:rsid w:val="008E59CA"/>
    <w:rsid w:val="009223FA"/>
    <w:rsid w:val="009503E6"/>
    <w:rsid w:val="0095220F"/>
    <w:rsid w:val="00957B56"/>
    <w:rsid w:val="0098473E"/>
    <w:rsid w:val="00995868"/>
    <w:rsid w:val="009B2109"/>
    <w:rsid w:val="009E0E9B"/>
    <w:rsid w:val="00A205BC"/>
    <w:rsid w:val="00A3232E"/>
    <w:rsid w:val="00A41E38"/>
    <w:rsid w:val="00A45431"/>
    <w:rsid w:val="00A52B8B"/>
    <w:rsid w:val="00A5643E"/>
    <w:rsid w:val="00A612E1"/>
    <w:rsid w:val="00A9738F"/>
    <w:rsid w:val="00AA1219"/>
    <w:rsid w:val="00AB5D86"/>
    <w:rsid w:val="00AD547D"/>
    <w:rsid w:val="00B33412"/>
    <w:rsid w:val="00B77557"/>
    <w:rsid w:val="00B82324"/>
    <w:rsid w:val="00B878A6"/>
    <w:rsid w:val="00BB2105"/>
    <w:rsid w:val="00BE35C7"/>
    <w:rsid w:val="00BF61F8"/>
    <w:rsid w:val="00C17A2F"/>
    <w:rsid w:val="00C55ED8"/>
    <w:rsid w:val="00C61C27"/>
    <w:rsid w:val="00C85901"/>
    <w:rsid w:val="00C9304B"/>
    <w:rsid w:val="00C95D0D"/>
    <w:rsid w:val="00CC16BE"/>
    <w:rsid w:val="00CC3AF9"/>
    <w:rsid w:val="00CD22E3"/>
    <w:rsid w:val="00CE0AE6"/>
    <w:rsid w:val="00CF32FA"/>
    <w:rsid w:val="00D16546"/>
    <w:rsid w:val="00D27732"/>
    <w:rsid w:val="00D46A52"/>
    <w:rsid w:val="00D81FCF"/>
    <w:rsid w:val="00D87A6B"/>
    <w:rsid w:val="00DA50A2"/>
    <w:rsid w:val="00DA57D2"/>
    <w:rsid w:val="00DF7353"/>
    <w:rsid w:val="00E20995"/>
    <w:rsid w:val="00E23819"/>
    <w:rsid w:val="00E27DE6"/>
    <w:rsid w:val="00E45D0E"/>
    <w:rsid w:val="00E56D49"/>
    <w:rsid w:val="00E81F33"/>
    <w:rsid w:val="00E944B7"/>
    <w:rsid w:val="00E97E60"/>
    <w:rsid w:val="00EA0C97"/>
    <w:rsid w:val="00EC0DF0"/>
    <w:rsid w:val="00EC171D"/>
    <w:rsid w:val="00EC2F44"/>
    <w:rsid w:val="00EE1782"/>
    <w:rsid w:val="00EE42E5"/>
    <w:rsid w:val="00EE4E90"/>
    <w:rsid w:val="00EE7936"/>
    <w:rsid w:val="00F2740B"/>
    <w:rsid w:val="00F41F10"/>
    <w:rsid w:val="00F51489"/>
    <w:rsid w:val="00F7782A"/>
    <w:rsid w:val="00F86276"/>
    <w:rsid w:val="00FA29DC"/>
    <w:rsid w:val="00FE1CF3"/>
    <w:rsid w:val="00FF0B95"/>
    <w:rsid w:val="01386A31"/>
    <w:rsid w:val="01F168D1"/>
    <w:rsid w:val="02B82FC8"/>
    <w:rsid w:val="040F13FD"/>
    <w:rsid w:val="04275632"/>
    <w:rsid w:val="05130419"/>
    <w:rsid w:val="05390317"/>
    <w:rsid w:val="05B44C2B"/>
    <w:rsid w:val="05DF1677"/>
    <w:rsid w:val="06095981"/>
    <w:rsid w:val="062646E2"/>
    <w:rsid w:val="07B61A6B"/>
    <w:rsid w:val="08B81DB6"/>
    <w:rsid w:val="08DC31BE"/>
    <w:rsid w:val="090613B8"/>
    <w:rsid w:val="0995116B"/>
    <w:rsid w:val="09B11EB0"/>
    <w:rsid w:val="09C90FC1"/>
    <w:rsid w:val="0A53558D"/>
    <w:rsid w:val="0B167997"/>
    <w:rsid w:val="0C4C4D32"/>
    <w:rsid w:val="0C9A2F62"/>
    <w:rsid w:val="0F39209B"/>
    <w:rsid w:val="0FE874E3"/>
    <w:rsid w:val="131C723D"/>
    <w:rsid w:val="131E21D6"/>
    <w:rsid w:val="13E3134E"/>
    <w:rsid w:val="14D57EBE"/>
    <w:rsid w:val="15F71782"/>
    <w:rsid w:val="15FA676A"/>
    <w:rsid w:val="160059BE"/>
    <w:rsid w:val="1625171B"/>
    <w:rsid w:val="16D63253"/>
    <w:rsid w:val="170A06F7"/>
    <w:rsid w:val="1744798F"/>
    <w:rsid w:val="17E0037F"/>
    <w:rsid w:val="1963781C"/>
    <w:rsid w:val="1B883E34"/>
    <w:rsid w:val="1BFFB236"/>
    <w:rsid w:val="1C52177F"/>
    <w:rsid w:val="1C8858D3"/>
    <w:rsid w:val="1D2442CD"/>
    <w:rsid w:val="1DFB561F"/>
    <w:rsid w:val="1E682CD1"/>
    <w:rsid w:val="1E7304AD"/>
    <w:rsid w:val="20E13271"/>
    <w:rsid w:val="211850E2"/>
    <w:rsid w:val="219E4B72"/>
    <w:rsid w:val="221E3227"/>
    <w:rsid w:val="24E21270"/>
    <w:rsid w:val="25097F4C"/>
    <w:rsid w:val="267B6E17"/>
    <w:rsid w:val="26C0046D"/>
    <w:rsid w:val="2737484F"/>
    <w:rsid w:val="274274E4"/>
    <w:rsid w:val="282615DE"/>
    <w:rsid w:val="288B647E"/>
    <w:rsid w:val="28A25ED1"/>
    <w:rsid w:val="2A3940EF"/>
    <w:rsid w:val="2A887911"/>
    <w:rsid w:val="2AA13636"/>
    <w:rsid w:val="2CAC36D2"/>
    <w:rsid w:val="2CC578A9"/>
    <w:rsid w:val="2DBC7251"/>
    <w:rsid w:val="2DF71C80"/>
    <w:rsid w:val="2EB62271"/>
    <w:rsid w:val="2EE76E0E"/>
    <w:rsid w:val="3015608C"/>
    <w:rsid w:val="31A05D1E"/>
    <w:rsid w:val="326029C6"/>
    <w:rsid w:val="32631239"/>
    <w:rsid w:val="3283113D"/>
    <w:rsid w:val="32ED3BD5"/>
    <w:rsid w:val="33801C41"/>
    <w:rsid w:val="34297D47"/>
    <w:rsid w:val="344051FB"/>
    <w:rsid w:val="349C5F45"/>
    <w:rsid w:val="34DE49E5"/>
    <w:rsid w:val="34ED2E3C"/>
    <w:rsid w:val="3539179B"/>
    <w:rsid w:val="364B5A19"/>
    <w:rsid w:val="36B53650"/>
    <w:rsid w:val="36F2362C"/>
    <w:rsid w:val="379619E2"/>
    <w:rsid w:val="37BC2C74"/>
    <w:rsid w:val="37BE0387"/>
    <w:rsid w:val="382829EE"/>
    <w:rsid w:val="38480824"/>
    <w:rsid w:val="3BE82E3C"/>
    <w:rsid w:val="3E7C6FC4"/>
    <w:rsid w:val="3ECB4D35"/>
    <w:rsid w:val="3F244A64"/>
    <w:rsid w:val="3F433AB9"/>
    <w:rsid w:val="3F4B2434"/>
    <w:rsid w:val="407969DE"/>
    <w:rsid w:val="4335310F"/>
    <w:rsid w:val="43A126C3"/>
    <w:rsid w:val="440561C4"/>
    <w:rsid w:val="441F1454"/>
    <w:rsid w:val="4463293C"/>
    <w:rsid w:val="44EC7296"/>
    <w:rsid w:val="464D5FF0"/>
    <w:rsid w:val="46AB4B25"/>
    <w:rsid w:val="46B6131F"/>
    <w:rsid w:val="46D20107"/>
    <w:rsid w:val="46EE42B7"/>
    <w:rsid w:val="471F3365"/>
    <w:rsid w:val="475E596E"/>
    <w:rsid w:val="48C342B2"/>
    <w:rsid w:val="49A267A1"/>
    <w:rsid w:val="49CC12E8"/>
    <w:rsid w:val="49F34D17"/>
    <w:rsid w:val="4A081B17"/>
    <w:rsid w:val="4AF26294"/>
    <w:rsid w:val="4B832E6C"/>
    <w:rsid w:val="4C1F2568"/>
    <w:rsid w:val="4E037759"/>
    <w:rsid w:val="4E0E44DC"/>
    <w:rsid w:val="4E885D96"/>
    <w:rsid w:val="4EBA2D5E"/>
    <w:rsid w:val="4ED82707"/>
    <w:rsid w:val="4FB30695"/>
    <w:rsid w:val="50924D8B"/>
    <w:rsid w:val="50D85F02"/>
    <w:rsid w:val="50F623F8"/>
    <w:rsid w:val="516D0752"/>
    <w:rsid w:val="526B057D"/>
    <w:rsid w:val="53C2475B"/>
    <w:rsid w:val="54DE0872"/>
    <w:rsid w:val="55C94AB2"/>
    <w:rsid w:val="560577E2"/>
    <w:rsid w:val="561D60CC"/>
    <w:rsid w:val="56971185"/>
    <w:rsid w:val="59C7147C"/>
    <w:rsid w:val="5A837C3A"/>
    <w:rsid w:val="5B262A23"/>
    <w:rsid w:val="5B33313D"/>
    <w:rsid w:val="5CC7648D"/>
    <w:rsid w:val="5CED6BA2"/>
    <w:rsid w:val="5D101A14"/>
    <w:rsid w:val="5D786347"/>
    <w:rsid w:val="5DD52C01"/>
    <w:rsid w:val="5EB84200"/>
    <w:rsid w:val="5EF863FE"/>
    <w:rsid w:val="5F014346"/>
    <w:rsid w:val="5F2A0F19"/>
    <w:rsid w:val="5FA21061"/>
    <w:rsid w:val="60957ED7"/>
    <w:rsid w:val="61721001"/>
    <w:rsid w:val="61770D0B"/>
    <w:rsid w:val="623A4698"/>
    <w:rsid w:val="644A2E68"/>
    <w:rsid w:val="64A37F41"/>
    <w:rsid w:val="64F67BF3"/>
    <w:rsid w:val="66207411"/>
    <w:rsid w:val="66307C31"/>
    <w:rsid w:val="666872DB"/>
    <w:rsid w:val="6671553E"/>
    <w:rsid w:val="669235B9"/>
    <w:rsid w:val="675F5A74"/>
    <w:rsid w:val="6A3C1D97"/>
    <w:rsid w:val="6A784B21"/>
    <w:rsid w:val="6AE64F75"/>
    <w:rsid w:val="6B5062A9"/>
    <w:rsid w:val="6B923E45"/>
    <w:rsid w:val="6BC80EEF"/>
    <w:rsid w:val="6C0004D5"/>
    <w:rsid w:val="6C1D3301"/>
    <w:rsid w:val="6CA21143"/>
    <w:rsid w:val="6D591DEB"/>
    <w:rsid w:val="6D6D65D0"/>
    <w:rsid w:val="6DAD5591"/>
    <w:rsid w:val="6DBD4D5C"/>
    <w:rsid w:val="6DC0630F"/>
    <w:rsid w:val="6E2B5927"/>
    <w:rsid w:val="6ED07CAD"/>
    <w:rsid w:val="6ED11C27"/>
    <w:rsid w:val="6F8F4D65"/>
    <w:rsid w:val="6F963638"/>
    <w:rsid w:val="70157471"/>
    <w:rsid w:val="70444ACD"/>
    <w:rsid w:val="704A7495"/>
    <w:rsid w:val="704C44C0"/>
    <w:rsid w:val="70D744E1"/>
    <w:rsid w:val="715D03A6"/>
    <w:rsid w:val="715E7D7E"/>
    <w:rsid w:val="716658B5"/>
    <w:rsid w:val="724F2F83"/>
    <w:rsid w:val="72A4493B"/>
    <w:rsid w:val="72EC17B3"/>
    <w:rsid w:val="742510BE"/>
    <w:rsid w:val="742E676F"/>
    <w:rsid w:val="74A81277"/>
    <w:rsid w:val="74F65FCF"/>
    <w:rsid w:val="75CE50FB"/>
    <w:rsid w:val="764F4E02"/>
    <w:rsid w:val="77394DD1"/>
    <w:rsid w:val="77730E23"/>
    <w:rsid w:val="7829032A"/>
    <w:rsid w:val="785016DB"/>
    <w:rsid w:val="78C66DC2"/>
    <w:rsid w:val="795D0CE5"/>
    <w:rsid w:val="7A272053"/>
    <w:rsid w:val="7A56723A"/>
    <w:rsid w:val="7A9F3187"/>
    <w:rsid w:val="7AB4570C"/>
    <w:rsid w:val="7B167AF6"/>
    <w:rsid w:val="7C19537F"/>
    <w:rsid w:val="7D2E6289"/>
    <w:rsid w:val="7D6F2B6D"/>
    <w:rsid w:val="7DDD044D"/>
    <w:rsid w:val="7E0D276A"/>
    <w:rsid w:val="7E25343F"/>
    <w:rsid w:val="7E7C3DE0"/>
    <w:rsid w:val="7E894F9D"/>
    <w:rsid w:val="7EB53032"/>
    <w:rsid w:val="7ED94B00"/>
    <w:rsid w:val="7F1B10E3"/>
    <w:rsid w:val="7F1F33E3"/>
    <w:rsid w:val="7F5A0714"/>
    <w:rsid w:val="7F8C710C"/>
    <w:rsid w:val="7FAA6499"/>
    <w:rsid w:val="7FB12261"/>
    <w:rsid w:val="8F63E239"/>
    <w:rsid w:val="D3EFCC82"/>
    <w:rsid w:val="EF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next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7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character" w:customStyle="1" w:styleId="16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4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2">
    <w:name w:val="font61"/>
    <w:basedOn w:val="1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1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5">
    <w:name w:val="font112"/>
    <w:basedOn w:val="1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7">
    <w:name w:val="首行缩进"/>
    <w:basedOn w:val="1"/>
    <w:qFormat/>
    <w:uiPriority w:val="99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7154</Words>
  <Characters>7458</Characters>
  <Lines>35</Lines>
  <Paragraphs>9</Paragraphs>
  <TotalTime>7</TotalTime>
  <ScaleCrop>false</ScaleCrop>
  <LinksUpToDate>false</LinksUpToDate>
  <CharactersWithSpaces>7854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2020-12-30T01:25:00Z</dcterms:created>
  <dc:creator>Lenovo</dc:creator>
  <cp:lastModifiedBy>开心就好</cp:lastModifiedBy>
  <cp:lastPrinted>2022-07-18T10:54:00Z</cp:lastPrinted>
  <dcterms:modified xsi:type="dcterms:W3CDTF">2022-08-03T10:25:55Z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410FEF8E26834930B862D138A4B1D610</vt:lpwstr>
  </property>
</Properties>
</file>