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12"/>
          <w:sz w:val="24"/>
          <w:szCs w:val="24"/>
          <w:lang w:val="en-US" w:eastAsia="zh-CN"/>
        </w:rPr>
        <w:t>附件4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12"/>
          <w:sz w:val="24"/>
          <w:szCs w:val="2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 w:ascii="方正仿宋_GBK" w:hAnsi="方正仿宋_GBK" w:eastAsia="方正仿宋_GBK" w:cs="方正仿宋_GBK"/>
          <w:spacing w:val="12"/>
          <w:sz w:val="30"/>
          <w:szCs w:val="30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pacing w:val="12"/>
          <w:sz w:val="30"/>
          <w:szCs w:val="30"/>
          <w:lang w:val="en-US" w:eastAsia="zh-CN"/>
        </w:rPr>
        <w:t xml:space="preserve"> 项目绩效评价指标体系表</w:t>
      </w:r>
    </w:p>
    <w:tbl>
      <w:tblPr>
        <w:tblStyle w:val="4"/>
        <w:tblpPr w:leftFromText="180" w:rightFromText="180" w:vertAnchor="page" w:horzAnchor="page" w:tblpX="1431" w:tblpY="2373"/>
        <w:tblOverlap w:val="never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55"/>
        <w:gridCol w:w="1365"/>
        <w:gridCol w:w="2685"/>
        <w:gridCol w:w="735"/>
        <w:gridCol w:w="5752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2667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化肥减量增效项目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农业主管部门</w:t>
            </w:r>
          </w:p>
        </w:tc>
        <w:tc>
          <w:tcPr>
            <w:tcW w:w="12667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农业农村部种植业管理司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自治区主管部门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自治区农业农村厅种植业管理处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实施单位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青铜峡市农业农村局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3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项目资金（万元）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年度资金额度</w:t>
            </w:r>
          </w:p>
        </w:tc>
        <w:tc>
          <w:tcPr>
            <w:tcW w:w="11212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3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其中：中央资金</w:t>
            </w:r>
          </w:p>
        </w:tc>
        <w:tc>
          <w:tcPr>
            <w:tcW w:w="11212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38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其他资金</w:t>
            </w:r>
          </w:p>
        </w:tc>
        <w:tc>
          <w:tcPr>
            <w:tcW w:w="11212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638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总体目标</w:t>
            </w:r>
          </w:p>
        </w:tc>
        <w:tc>
          <w:tcPr>
            <w:tcW w:w="12667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 xml:space="preserve">建设化肥减量增效“三新”升级版示范片，示范面积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0.06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 xml:space="preserve"> 万亩次。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全区测土配方施肥技术推广面积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万亩次。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开展田间试验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5项。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农户施肥调查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户。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培训新型经营主体、专业合作社、农业技术人员及农户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30人次。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二级指标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三级指标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指标内容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赋分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评分标准</w:t>
            </w: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管理指标（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组织管理（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组织机构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是否成立组织机构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成立独立或综合项目领导小组和技术服务组，有成员名单和责任分工得满分，其他酌情扣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1-2分。</w:t>
            </w: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项目实施管理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15分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实施方案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有完整的实施方案并及时报送农业农村厅备案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实施方案明确，任务清单，进度安排、绩效目标，考核办法完整得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3分，不完整扣2分，不及时扣1分。</w:t>
            </w: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档案管理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加强档案资料管理，有完整工作档案，技术档案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有完整工作档案，技术档案得满分，其他酌情扣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1-2分。</w:t>
            </w: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资金管理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资金足额使用，及时按合同，凭证规范指出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资金足额使用，及时支出、合同凭证规范得满分，其他酌情扣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1-2分。</w:t>
            </w: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3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信息报送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按要求及时上报基础监测数据，项目方案，项目方案，项目实施进展等信息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按方案要求及时上报基础监测数据，项目方案，项目方案，项目实施进展等信息得满分，其他酌情扣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1-2分。</w:t>
            </w: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8" w:type="dxa"/>
            <w:vMerge w:val="continue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总结验收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及时完成项目总结，及时组织项目自验，及时报送农业农村厅备案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  <w:t>及时完成项目总结且数据充实完整，及时组织项目自验并上报情况得满分，其他酌情扣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/>
              </w:rPr>
              <w:t>1-3分。</w:t>
            </w:r>
          </w:p>
        </w:tc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资金管理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资金管理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spacing w:before="19" w:line="221" w:lineRule="auto"/>
              <w:ind w:firstLine="23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项目资金专款专用情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项目资金无挤占挪用，做到专款专用，符合项目管理办法得满分，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其他酌情扣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1-3分。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资金使用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项目资金及时、规范支出情况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符合项目资金管理办法得满分，无依据、验收不合格支付均不得分，其他支付问题酌情扣分。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绩效指标（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产出指标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建设化肥减量增效“三新”升级版示范片任务，完成测土配方施肥技术推广面积，田间试验和农合施肥调查等任务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全面落实建设任务得10分；任务完成100%--90%得8分；90%--80%得5分；低于80%不得分。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质量指标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测土配方施肥技术覆盖率稳定在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90%以上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达到目标得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测土配方施肥技术覆盖率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90%--85%得8分；85%--80%得8分；低于80%不得分。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时效指标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及时完成项目任务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100%按期完成任务得5分，每少2个百分点扣一分，扣完为止。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资金支付率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2022年12月底前资金100%支付得5分，支付80%以上得3分，否则不得分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效益指标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经济效益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示范区粮食单产增加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3%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粮食单产增加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3%以上得10分；增加2%以上得8分；增加1%以上得5分；否则不得分。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社会效益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化肥减量增效技术辐射带动效果明显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化肥减量增效技术辐射带动效果明显得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10分，否则酌情扣扣1--5分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生态效益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示范区化肥减量减少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3%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示范区化肥减量减少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3%以上得10分；3%--2%以上得8分；2%以上得5分；没减少的不得分。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可持续影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响指标</w:t>
            </w: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探索形成符合当地特色产业布局与区位优势的化肥减量增效“三新”升级版技术模式</w:t>
            </w:r>
          </w:p>
        </w:tc>
        <w:tc>
          <w:tcPr>
            <w:tcW w:w="735" w:type="dxa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建立化肥减量增效“三新”升级版技术模式得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5分；否则酌情扣扣1--5分。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满意度指标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服务对象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满意度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项目区农户和企业抽样调查满意度不低于 80%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575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项目区农户和企业抽查满意度达80%以上的5分；少一个百分点扣一分，扣完为止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09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总分</w:t>
            </w:r>
          </w:p>
        </w:tc>
        <w:tc>
          <w:tcPr>
            <w:tcW w:w="10537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75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782F9"/>
    <w:multiLevelType w:val="singleLevel"/>
    <w:tmpl w:val="62C782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02CF6316"/>
    <w:rsid w:val="02C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2022-08-10T07:23:00Z</dcterms:created>
  <dc:creator>谷的白。</dc:creator>
  <cp:lastModifiedBy>谷的白。</cp:lastModifiedBy>
  <dcterms:modified xsi:type="dcterms:W3CDTF">2022-08-10T07:28:39Z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0C651D2B5F4942C29AEF90A4B42A1BCE</vt:lpwstr>
  </property>
</Properties>
</file>