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color w:val="000000"/>
          <w:kern w:val="0"/>
          <w:sz w:val="32"/>
          <w:szCs w:val="32"/>
          <w:lang w:eastAsia="zh-CN"/>
        </w:rPr>
        <w:t>附表</w:t>
      </w:r>
    </w:p>
    <w:tbl>
      <w:tblPr>
        <w:tblStyle w:val="2"/>
        <w:tblW w:w="9409" w:type="dxa"/>
        <w:tblInd w:w="-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886"/>
        <w:gridCol w:w="1078"/>
        <w:gridCol w:w="5768"/>
        <w:gridCol w:w="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6"/>
                <w:szCs w:val="36"/>
              </w:rPr>
              <w:t>2022年农作物秸秆综合利用重点县项目绩效考核指标体系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 w:val="18"/>
                <w:szCs w:val="18"/>
              </w:rPr>
              <w:t>一级指标及分值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 w:val="18"/>
                <w:szCs w:val="18"/>
              </w:rPr>
              <w:t>二级指标及分值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 w:val="18"/>
                <w:szCs w:val="18"/>
              </w:rPr>
              <w:t>三级指标及分值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 w:val="18"/>
                <w:szCs w:val="18"/>
              </w:rPr>
              <w:t>自评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92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项目管理（45分）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组织管理（20分）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组织保障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成立农作物秸秆专项工作领导小组和项目实施小组得5分，每成立一项得2.5分，未成立不得分。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实施方案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根据下达的补助资金量，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制定项目实施方案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，明确目标任务得5分，方案不完整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18"/>
                <w:szCs w:val="18"/>
              </w:rPr>
              <w:t>酌情扣分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实施主体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通过公开招标方式确定作业主体得5分；未公开招标或发生投诉不得分。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管理制度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档案资料完整规范，有绩效考核管理办法、公开公示制度、验收、作业协议（合同）书等得5分，每少一项扣1分。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项目实施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（25分）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资金到位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项目资金全部到位得5分，到位率达到80%得3分，到位率达到50%得2分，未到位的不得分。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到位时效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资金及时到位得2分；未及时到位但未影响项目进度得1分；未按规定支付不得分。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组织作业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按规定要求程序组织作业并按时完成任务得10分，未按规定要求程序（按规定填报作业记录表、村委会公示、乡（镇）审核、安装远程监测设备等）每项扣2 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资金管理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项目资金专款专用，资金使用符合规定要求得3分；资金兑付符合相关验收规定程序，手续完整规范得2分；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未按规定使用资金酌情扣分。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自评报告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及时按规定要求报送自评报告，报告内容完整、评价准确得3分，报告内容不完整评价不准确得1-3分，未及时按规定要求报送不得分。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2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项目绩效（55分）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产出指标（21分）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数量指标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计划作业任务全部完成得10分，完成率在80%以上得8-9分，完成率在50%及以上得5-7分，完成率在50%以下得1-4分，未完成不得分。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质量指标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农作物秸秆综合利用率达到90%得6分，每少1个百分点扣1分。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时效指标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在2022年11月30日前完成全部作业任务得5分，未按时完成任务酌情扣分</w:t>
            </w:r>
            <w:r>
              <w:rPr>
                <w:rFonts w:hint="eastAsia" w:ascii="方正仿宋_GBK" w:eastAsia="方正仿宋_GBK"/>
                <w:kern w:val="0"/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效益指标（24分）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通过项目实施，增加农作物副产品价值，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增加农民收入，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达到预期指标得8分；部分达到预期指标得1-7分。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通过项目实施，推进农作物秸秆饲料化、肥料化、原料化利用，</w:t>
            </w:r>
            <w:r>
              <w:rPr>
                <w:rFonts w:hint="eastAsia" w:ascii="方正仿宋_GBK" w:eastAsia="方正仿宋_GBK"/>
                <w:color w:val="333333"/>
                <w:sz w:val="18"/>
                <w:szCs w:val="18"/>
                <w:shd w:val="clear" w:color="auto" w:fill="FFFFFF"/>
              </w:rPr>
              <w:t>达到预期指标得8分，部分得到预期指标得1-7分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通过项目实施，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改善农业生态环境，提高耕地质量，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达到预期指标得8分，部分达到预期值得1-7分。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满意度指标（10分）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服务对象满意度（10分）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服务对象满意度10分；满意度在90%及以上得10分，满意度在80%-89%得8-9分，满意度在50%-79%得5-7分，满意度在50%以下不得分。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总　　分          100分</w:t>
            </w:r>
          </w:p>
        </w:tc>
        <w:tc>
          <w:tcPr>
            <w:tcW w:w="5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1328515B"/>
    <w:rsid w:val="132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2022-08-10T07:41:00Z</dcterms:created>
  <dc:creator>谷的白。</dc:creator>
  <cp:lastModifiedBy>谷的白。</cp:lastModifiedBy>
  <dcterms:modified xsi:type="dcterms:W3CDTF">2022-08-10T07:41:56Z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2BA4FD8AB8324F8A963B837B36756FB0</vt:lpwstr>
  </property>
</Properties>
</file>