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default" w:ascii="方正仿宋_GBK" w:hAnsi="方正仿宋_GBK" w:eastAsia="方正仿宋_GBK" w:cs="方正仿宋_GBK"/>
          <w:sz w:val="32"/>
          <w:szCs w:val="32"/>
          <w:lang w:val="en" w:eastAsia="zh-CN"/>
        </w:rPr>
      </w:pPr>
      <w:r>
        <w:rPr>
          <w:rFonts w:hint="eastAsia" w:ascii="方正仿宋_GBK" w:hAnsi="方正仿宋_GBK" w:eastAsia="方正仿宋_GBK" w:cs="方正仿宋_GBK"/>
          <w:sz w:val="32"/>
          <w:szCs w:val="32"/>
          <w:lang w:eastAsia="zh-CN"/>
        </w:rPr>
        <w:t>附件</w:t>
      </w:r>
      <w:r>
        <w:rPr>
          <w:rFonts w:hint="default" w:ascii="方正仿宋_GBK" w:hAnsi="方正仿宋_GBK" w:eastAsia="方正仿宋_GBK" w:cs="方正仿宋_GBK"/>
          <w:sz w:val="32"/>
          <w:szCs w:val="32"/>
          <w:lang w:val="en" w:eastAsia="zh-CN"/>
        </w:rPr>
        <w:t>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val="0"/>
          <w:bCs w:val="0"/>
          <w:sz w:val="44"/>
          <w:szCs w:val="44"/>
          <w:lang w:eastAsia="zh-CN"/>
        </w:rPr>
      </w:pPr>
      <w:bookmarkStart w:id="0" w:name="_GoBack"/>
      <w:r>
        <w:rPr>
          <w:rFonts w:hint="eastAsia" w:ascii="方正小标宋_GBK" w:hAnsi="方正小标宋_GBK" w:eastAsia="方正小标宋_GBK" w:cs="方正小标宋_GBK"/>
          <w:b w:val="0"/>
          <w:bCs w:val="0"/>
          <w:sz w:val="44"/>
          <w:szCs w:val="44"/>
          <w:lang w:eastAsia="zh-CN"/>
        </w:rPr>
        <w:t>青铜峡市2022年农业生产和水利救灾</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资金项目（第三批）绩效考核方案</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为进一步加强资金管理，充分发挥资金使用效益，不断提高玉米及大豆玉米带状复合种植病虫害综合防控水平，确保玉米及大豆玉米带状复合种植病虫害不流行、不成灾，特制定本方案。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方正黑体_GBK" w:hAnsi="方正黑体_GBK" w:eastAsia="方正黑体_GBK" w:cs="方正黑体_GBK"/>
          <w:b w:val="0"/>
          <w:bCs w:val="0"/>
          <w:sz w:val="32"/>
          <w:szCs w:val="32"/>
          <w:lang w:eastAsia="zh-CN"/>
        </w:rPr>
      </w:pPr>
      <w:r>
        <w:rPr>
          <w:rFonts w:hint="eastAsia" w:ascii="方正仿宋_GBK" w:hAnsi="方正仿宋_GBK" w:eastAsia="方正仿宋_GBK" w:cs="方正仿宋_GBK"/>
          <w:b/>
          <w:bCs/>
          <w:sz w:val="32"/>
          <w:szCs w:val="32"/>
          <w:lang w:val="en-US" w:eastAsia="zh-CN"/>
        </w:rPr>
        <w:t xml:space="preserve">    </w:t>
      </w:r>
      <w:r>
        <w:rPr>
          <w:rFonts w:hint="eastAsia" w:ascii="方正黑体_GBK" w:hAnsi="方正黑体_GBK" w:eastAsia="方正黑体_GBK" w:cs="方正黑体_GBK"/>
          <w:b w:val="0"/>
          <w:bCs w:val="0"/>
          <w:sz w:val="32"/>
          <w:szCs w:val="32"/>
          <w:lang w:val="en-US" w:eastAsia="zh-CN"/>
        </w:rPr>
        <w:t>一、</w:t>
      </w:r>
      <w:r>
        <w:rPr>
          <w:rFonts w:hint="eastAsia" w:ascii="方正黑体_GBK" w:hAnsi="方正黑体_GBK" w:eastAsia="方正黑体_GBK" w:cs="方正黑体_GBK"/>
          <w:b w:val="0"/>
          <w:bCs w:val="0"/>
          <w:sz w:val="32"/>
          <w:szCs w:val="32"/>
          <w:lang w:eastAsia="zh-CN"/>
        </w:rPr>
        <w:t>基本要求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青铜峡市农业农村局根据项目要求</w:t>
      </w:r>
      <w:r>
        <w:rPr>
          <w:rFonts w:hint="eastAsia" w:ascii="方正仿宋_GBK" w:hAnsi="方正仿宋_GBK" w:eastAsia="方正仿宋_GBK" w:cs="方正仿宋_GBK"/>
          <w:color w:val="auto"/>
          <w:sz w:val="32"/>
          <w:szCs w:val="32"/>
          <w:lang w:eastAsia="zh-CN"/>
        </w:rPr>
        <w:t>制定考核方案及考核指标，</w:t>
      </w:r>
      <w:r>
        <w:rPr>
          <w:rFonts w:hint="eastAsia" w:ascii="方正仿宋_GBK" w:hAnsi="方正仿宋_GBK" w:eastAsia="方正仿宋_GBK" w:cs="方正仿宋_GBK"/>
          <w:sz w:val="32"/>
          <w:szCs w:val="32"/>
          <w:lang w:eastAsia="zh-CN"/>
        </w:rPr>
        <w:t>规范考核程序，遵循县级自验、区级抽验的程序，统一标准，逐级把关，阳光操作，确保农业生产救灾资金项目绩效考核工作顺利开展。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方正黑体_GBK" w:hAnsi="方正黑体_GBK" w:eastAsia="方正黑体_GBK" w:cs="方正黑体_GBK"/>
          <w:b w:val="0"/>
          <w:bCs w:val="0"/>
          <w:sz w:val="32"/>
          <w:szCs w:val="32"/>
          <w:lang w:val="en-US" w:eastAsia="zh-CN"/>
        </w:rPr>
      </w:pPr>
      <w:r>
        <w:rPr>
          <w:rFonts w:hint="eastAsia" w:ascii="方正仿宋_GBK" w:hAnsi="方正仿宋_GBK" w:eastAsia="方正仿宋_GBK" w:cs="方正仿宋_GBK"/>
          <w:b/>
          <w:bCs/>
          <w:sz w:val="32"/>
          <w:szCs w:val="32"/>
          <w:lang w:val="en-US" w:eastAsia="zh-CN"/>
        </w:rPr>
        <w:t xml:space="preserve">    </w:t>
      </w:r>
      <w:r>
        <w:rPr>
          <w:rFonts w:hint="eastAsia" w:ascii="方正黑体_GBK" w:hAnsi="方正黑体_GBK" w:eastAsia="方正黑体_GBK" w:cs="方正黑体_GBK"/>
          <w:b w:val="0"/>
          <w:bCs w:val="0"/>
          <w:sz w:val="32"/>
          <w:szCs w:val="32"/>
          <w:lang w:val="en-US" w:eastAsia="zh-CN"/>
        </w:rPr>
        <w:t>二、</w:t>
      </w:r>
      <w:r>
        <w:rPr>
          <w:rFonts w:hint="eastAsia" w:ascii="方正黑体_GBK" w:hAnsi="方正黑体_GBK" w:eastAsia="方正黑体_GBK" w:cs="方正黑体_GBK"/>
          <w:b w:val="0"/>
          <w:bCs w:val="0"/>
          <w:sz w:val="32"/>
          <w:szCs w:val="32"/>
          <w:lang w:eastAsia="zh-CN"/>
        </w:rPr>
        <w:t>考核原则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按照科学规范、公开透明、客观公正、严格公平的原则，严格考核程序、考核内容、考核标准，并自觉接受监督，确保考核工作公平、公正。坚持考核结果与补助经费挂钩，根据考核发现的问题，及时整改，持续推进项目管理工作。</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三、考核对象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青铜峡市农业技术和农机化推广服务中心</w:t>
      </w:r>
    </w:p>
    <w:p>
      <w:pPr>
        <w:keepNext w:val="0"/>
        <w:keepLines w:val="0"/>
        <w:pageBreakBefore w:val="0"/>
        <w:widowControl w:val="0"/>
        <w:numPr>
          <w:ilvl w:val="0"/>
          <w:numId w:val="0"/>
        </w:numPr>
        <w:kinsoku/>
        <w:wordWrap/>
        <w:overflowPunct/>
        <w:topLinePunct w:val="0"/>
        <w:autoSpaceDE/>
        <w:autoSpaceDN/>
        <w:bidi w:val="0"/>
        <w:adjustRightInd/>
        <w:snapToGrid/>
        <w:ind w:firstLine="64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四、考核内容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（一）项目管理情况。按照实施前有方案、实施中有监督检查、完成后有总结验收的管理要求，对工作开展情况进行考核。主要包括</w:t>
      </w:r>
      <w:r>
        <w:rPr>
          <w:rFonts w:hint="default"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实施方案制定、招投标管理、资金管理、档案管理、总结验收等方面。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（二）任务指标落实及完成情况。按照《</w:t>
      </w:r>
      <w:r>
        <w:rPr>
          <w:rFonts w:hint="default"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lang w:val="en-US" w:eastAsia="zh-CN"/>
        </w:rPr>
        <w:t>年农业生产救灾资金（第三批）实施方案》要求，抓好任务的落实，具体做好玉米及大豆玉米带状复合种植重大病虫害防控等工作，完成工作总结报告和绩效自评报告。及时报送自治区农业农村厅种植业管理处、自治区农业技术推广总站备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（三）效果评价情况。项目实施后，做好防控效果调查及防控示范区农户满意度调查，为实施效果评价提供依据。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五、评分标准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采用百分制考核，其中：项目管理情况30分，项目项目绩效情况70分，详细评分标准见附表</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六、考核方式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农业技术和农机化推广服务中心自验，在农业农村局验收之前，对照我市制定的验收办法，农业技术和农机化推广服务中心对照考核标准自验，查漏补缺验收步骤和方法：一是农业农村局验收组听取农业技术和农机化推广服务中心有关项目情况汇报；二是查阅有关档案并质询；三是进行评估认定，并进行汇总；四是形成验收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七、考核结果</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sz w:val="32"/>
          <w:szCs w:val="32"/>
          <w:lang w:eastAsia="zh-CN"/>
        </w:rPr>
        <w:t>一是</w:t>
      </w:r>
      <w:r>
        <w:rPr>
          <w:rFonts w:hint="eastAsia" w:ascii="方正仿宋_GBK" w:hAnsi="方正仿宋_GBK" w:eastAsia="方正仿宋_GBK" w:cs="方正仿宋_GBK"/>
          <w:sz w:val="32"/>
          <w:szCs w:val="32"/>
          <w:lang w:eastAsia="zh-CN"/>
        </w:rPr>
        <w:t>农业农村局对项目验收结果进行公示</w:t>
      </w:r>
      <w:r>
        <w:rPr>
          <w:rFonts w:hint="eastAsia" w:ascii="方正仿宋_GBK" w:hAnsi="方正仿宋_GBK" w:eastAsia="方正仿宋_GBK" w:cs="方正仿宋_GBK"/>
          <w:sz w:val="32"/>
          <w:szCs w:val="32"/>
          <w:lang w:val="en-US" w:eastAsia="zh-CN"/>
        </w:rPr>
        <w:t xml:space="preserve">。                   </w:t>
      </w:r>
    </w:p>
    <w:p>
      <w:pPr>
        <w:ind w:firstLine="64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eastAsia="zh-CN"/>
        </w:rPr>
        <w:t>二是</w:t>
      </w:r>
      <w:r>
        <w:rPr>
          <w:rFonts w:hint="eastAsia" w:ascii="方正仿宋_GBK" w:hAnsi="方正仿宋_GBK" w:eastAsia="方正仿宋_GBK" w:cs="方正仿宋_GBK"/>
          <w:sz w:val="32"/>
          <w:szCs w:val="32"/>
          <w:lang w:eastAsia="zh-CN"/>
        </w:rPr>
        <w:t>执行严重偏离要求，或出现重大技术事故，严重违反财经纪律要求的，将对项目负责人进行严肃问责。</w:t>
      </w:r>
    </w:p>
    <w:p>
      <w:pPr>
        <w:ind w:firstLine="640"/>
        <w:rPr>
          <w:rFonts w:hint="eastAsia" w:ascii="方正仿宋_GBK" w:hAnsi="方正仿宋_GBK" w:eastAsia="方正仿宋_GBK" w:cs="方正仿宋_GBK"/>
          <w:sz w:val="32"/>
          <w:szCs w:val="32"/>
          <w:lang w:eastAsia="zh-CN"/>
        </w:rPr>
      </w:pPr>
    </w:p>
    <w:p>
      <w:pPr>
        <w:ind w:firstLine="640"/>
        <w:rPr>
          <w:rFonts w:hint="eastAsia" w:ascii="方正仿宋_GBK" w:hAnsi="方正仿宋_GBK" w:eastAsia="方正仿宋_GBK" w:cs="方正仿宋_GBK"/>
          <w:sz w:val="32"/>
          <w:szCs w:val="32"/>
          <w:lang w:eastAsia="zh-CN"/>
        </w:rPr>
      </w:pPr>
    </w:p>
    <w:p>
      <w:pPr>
        <w:ind w:left="1918" w:leftChars="304" w:hanging="1280" w:hangingChars="4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1.</w:t>
      </w:r>
      <w:r>
        <w:rPr>
          <w:rFonts w:hint="default"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lang w:val="en-US" w:eastAsia="zh-CN"/>
        </w:rPr>
        <w:t xml:space="preserve">年农业生产和水利救灾资金项目（第三批绩效管理体系评分 </w:t>
      </w:r>
    </w:p>
    <w:p>
      <w:pPr>
        <w:ind w:left="1916" w:leftChars="760" w:hanging="320" w:hangingChars="100"/>
        <w:rPr>
          <w:rFonts w:hint="eastAsia" w:ascii="方正仿宋_GBK" w:hAnsi="方正仿宋_GBK" w:eastAsia="方正仿宋_GBK" w:cs="方正仿宋_GBK"/>
          <w:sz w:val="32"/>
          <w:szCs w:val="32"/>
          <w:lang w:eastAsia="zh-CN"/>
        </w:rPr>
      </w:pPr>
      <w:r>
        <w:rPr>
          <w:rFonts w:hint="default" w:ascii="方正仿宋_GBK" w:hAnsi="方正仿宋_GBK" w:eastAsia="方正仿宋_GBK" w:cs="方正仿宋_GBK"/>
          <w:sz w:val="32"/>
          <w:szCs w:val="32"/>
          <w:lang w:val="en-US" w:eastAsia="zh-CN"/>
        </w:rPr>
        <w:t>2.2022</w:t>
      </w:r>
      <w:r>
        <w:rPr>
          <w:rFonts w:hint="eastAsia" w:ascii="方正仿宋_GBK" w:hAnsi="方正仿宋_GBK" w:eastAsia="方正仿宋_GBK" w:cs="方正仿宋_GBK"/>
          <w:sz w:val="32"/>
          <w:szCs w:val="32"/>
          <w:lang w:val="en-US" w:eastAsia="zh-CN"/>
        </w:rPr>
        <w:t>年农业生产和水利救灾资金项目（第三批）绩效目标申报表</w:t>
      </w:r>
    </w:p>
    <w:p>
      <w:pPr>
        <w:ind w:firstLine="640"/>
        <w:rPr>
          <w:rFonts w:hint="default" w:ascii="方正仿宋_GBK" w:hAnsi="方正仿宋_GBK" w:eastAsia="方正仿宋_GBK" w:cs="方正仿宋_GBK"/>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NTU2MjU5MDQxMDBiMGZkNGQ1NmE2ZjE4OGFlZWQifQ=="/>
  </w:docVars>
  <w:rsids>
    <w:rsidRoot w:val="40A804BD"/>
    <w:rsid w:val="40A80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941</Words>
  <Characters>959</Characters>
  <Lines>0</Lines>
  <Paragraphs>0</Paragraphs>
  <TotalTime>0</TotalTime>
  <ScaleCrop>false</ScaleCrop>
  <LinksUpToDate>false</LinksUpToDate>
  <CharactersWithSpaces>991</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2022-08-10T07:10:00Z</dcterms:created>
  <dc:creator>dell</dc:creator>
  <cp:lastModifiedBy>dell</cp:lastModifiedBy>
  <dcterms:modified xsi:type="dcterms:W3CDTF">2022-08-10T07:13:33Z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718B911AD99C4338BF9566CC68C51279</vt:lpwstr>
  </property>
</Properties>
</file>