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jc w:val="center"/>
        <w:rPr>
          <w:rFonts w:ascii="方正小标宋简体" w:eastAsia="方正小标宋简体"/>
          <w:kern w:val="0"/>
          <w:sz w:val="44"/>
          <w:szCs w:val="44"/>
        </w:rPr>
      </w:pPr>
      <w:r>
        <w:rPr>
          <w:rFonts w:ascii="方正小标宋简体" w:eastAsia="方正小标宋简体" w:hint="eastAsia"/>
          <w:kern w:val="0"/>
          <w:sz w:val="44"/>
          <w:szCs w:val="44"/>
        </w:rPr>
        <w:t>吴忠青铜峡新材料基地管理委员会</w:t>
      </w:r>
    </w:p>
    <w:p>
      <w:pPr>
        <w:jc w:val="center"/>
        <w:rPr>
          <w:rFonts w:ascii="仿宋" w:eastAsia="仿宋"/>
          <w:sz w:val="32"/>
          <w:szCs w:val="32"/>
        </w:rPr>
      </w:pPr>
      <w:r>
        <w:rPr>
          <w:rFonts w:ascii="方正小标宋简体" w:eastAsia="方正小标宋简体" w:hint="eastAsia"/>
          <w:kern w:val="0"/>
          <w:sz w:val="44"/>
          <w:szCs w:val="44"/>
        </w:rPr>
        <w:t>2018年部门预算</w:t>
      </w: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jc w:val="center"/>
        <w:rPr>
          <w:rFonts w:ascii="方正小标宋简体" w:eastAsia="方正小标宋简体"/>
          <w:kern w:val="0"/>
          <w:sz w:val="44"/>
          <w:szCs w:val="44"/>
        </w:rPr>
      </w:pPr>
      <w:r>
        <w:rPr>
          <w:rFonts w:ascii="方正小标宋简体" w:eastAsia="方正小标宋简体" w:hint="eastAsia"/>
          <w:kern w:val="0"/>
          <w:sz w:val="44"/>
          <w:szCs w:val="44"/>
        </w:rPr>
        <w:t>目</w:t>
      </w:r>
      <w:r>
        <w:rPr>
          <w:rFonts w:ascii="宋体" w:eastAsia="方正小标宋简体" w:hAnsi="宋体" w:hint="eastAsia"/>
          <w:kern w:val="0"/>
          <w:sz w:val="44"/>
          <w:szCs w:val="44"/>
        </w:rPr>
        <w:t> </w:t>
      </w:r>
      <w:r>
        <w:rPr>
          <w:rFonts w:ascii="方正小标宋简体" w:eastAsia="方正小标宋简体" w:hint="eastAsia"/>
          <w:kern w:val="0"/>
          <w:sz w:val="44"/>
          <w:szCs w:val="44"/>
        </w:rPr>
        <w:t xml:space="preserve"> 录</w:t>
      </w:r>
    </w:p>
    <w:p>
      <w:pPr>
        <w:rPr>
          <w:rFonts w:ascii="仿宋" w:eastAsia="仿宋"/>
          <w:b/>
          <w:kern w:val="0"/>
          <w:sz w:val="32"/>
          <w:szCs w:val="32"/>
        </w:rPr>
      </w:pPr>
    </w:p>
    <w:p>
      <w:pPr>
        <w:ind w:firstLineChars="225" w:firstLine="720"/>
        <w:rPr>
          <w:rFonts w:ascii="黑体" w:eastAsia="黑体"/>
          <w:kern w:val="0"/>
          <w:sz w:val="32"/>
          <w:szCs w:val="32"/>
        </w:rPr>
      </w:pPr>
      <w:r>
        <w:rPr>
          <w:rFonts w:ascii="黑体" w:eastAsia="黑体" w:hint="eastAsia"/>
          <w:kern w:val="0"/>
          <w:sz w:val="32"/>
          <w:szCs w:val="32"/>
        </w:rPr>
        <w:t>第一部分    单位概况</w:t>
      </w:r>
    </w:p>
    <w:p>
      <w:pPr>
        <w:ind w:firstLineChars="225" w:firstLine="720"/>
        <w:rPr>
          <w:rFonts w:ascii="仿宋" w:eastAsia="仿宋"/>
          <w:kern w:val="0"/>
          <w:sz w:val="32"/>
          <w:szCs w:val="32"/>
        </w:rPr>
      </w:pPr>
      <w:r>
        <w:rPr>
          <w:rFonts w:ascii="仿宋" w:eastAsia="仿宋" w:hint="eastAsia"/>
          <w:kern w:val="0"/>
          <w:sz w:val="32"/>
          <w:szCs w:val="32"/>
        </w:rPr>
        <w:t>一、</w:t>
      </w:r>
      <w:r>
        <w:rPr>
          <w:rFonts w:ascii="仿宋" w:eastAsia="仿宋" w:hint="eastAsia"/>
          <w:color w:val="000000"/>
          <w:kern w:val="0"/>
          <w:sz w:val="32"/>
          <w:szCs w:val="32"/>
        </w:rPr>
        <w:t>主要职能</w:t>
      </w:r>
    </w:p>
    <w:p>
      <w:pPr>
        <w:ind w:firstLineChars="225" w:firstLine="720"/>
        <w:rPr>
          <w:rFonts w:ascii="仿宋" w:eastAsia="仿宋"/>
          <w:kern w:val="0"/>
          <w:sz w:val="32"/>
          <w:szCs w:val="32"/>
        </w:rPr>
      </w:pPr>
      <w:r>
        <w:rPr>
          <w:rFonts w:ascii="仿宋" w:eastAsia="仿宋" w:hint="eastAsia"/>
          <w:color w:val="000000"/>
          <w:kern w:val="0"/>
          <w:sz w:val="32"/>
          <w:szCs w:val="32"/>
        </w:rPr>
        <w:t>二、部门预算单位构成</w:t>
      </w:r>
    </w:p>
    <w:p>
      <w:pPr>
        <w:ind w:firstLineChars="225" w:firstLine="720"/>
        <w:rPr>
          <w:rFonts w:ascii="黑体" w:eastAsia="黑体"/>
          <w:kern w:val="0"/>
          <w:sz w:val="32"/>
          <w:szCs w:val="32"/>
        </w:rPr>
      </w:pPr>
      <w:r>
        <w:rPr>
          <w:rFonts w:ascii="黑体" w:eastAsia="黑体" w:hint="eastAsia"/>
          <w:kern w:val="0"/>
          <w:sz w:val="32"/>
          <w:szCs w:val="32"/>
        </w:rPr>
        <w:t>第二部分    2018年部门预算表</w:t>
      </w:r>
    </w:p>
    <w:p>
      <w:pPr>
        <w:ind w:firstLineChars="225" w:firstLine="720"/>
        <w:rPr>
          <w:rFonts w:ascii="仿宋" w:eastAsia="仿宋"/>
          <w:kern w:val="0"/>
          <w:sz w:val="32"/>
          <w:szCs w:val="32"/>
        </w:rPr>
      </w:pPr>
      <w:r>
        <w:rPr>
          <w:rFonts w:ascii="仿宋" w:eastAsia="仿宋" w:hint="eastAsia"/>
          <w:kern w:val="0"/>
          <w:sz w:val="32"/>
          <w:szCs w:val="32"/>
        </w:rPr>
        <w:t>一、财政拨款收支预算总表</w:t>
      </w:r>
    </w:p>
    <w:p>
      <w:pPr>
        <w:ind w:firstLineChars="225" w:firstLine="720"/>
        <w:rPr>
          <w:rFonts w:ascii="仿宋" w:eastAsia="仿宋"/>
          <w:kern w:val="0"/>
          <w:sz w:val="32"/>
          <w:szCs w:val="32"/>
        </w:rPr>
      </w:pPr>
      <w:r>
        <w:rPr>
          <w:rFonts w:ascii="仿宋" w:eastAsia="仿宋" w:hint="eastAsia"/>
          <w:kern w:val="0"/>
          <w:sz w:val="32"/>
          <w:szCs w:val="32"/>
        </w:rPr>
        <w:t>二、财政拨款支出预算总表</w:t>
      </w:r>
    </w:p>
    <w:p>
      <w:pPr>
        <w:ind w:firstLineChars="225" w:firstLine="720"/>
        <w:rPr>
          <w:rFonts w:ascii="仿宋" w:eastAsia="仿宋"/>
          <w:kern w:val="0"/>
          <w:sz w:val="32"/>
          <w:szCs w:val="32"/>
        </w:rPr>
      </w:pPr>
      <w:r>
        <w:rPr>
          <w:rFonts w:ascii="仿宋" w:eastAsia="仿宋" w:hint="eastAsia"/>
          <w:kern w:val="0"/>
          <w:sz w:val="32"/>
          <w:szCs w:val="32"/>
        </w:rPr>
        <w:t>三、一般公共预算支出表</w:t>
      </w:r>
    </w:p>
    <w:p>
      <w:pPr>
        <w:ind w:firstLineChars="225" w:firstLine="720"/>
        <w:rPr>
          <w:rFonts w:ascii="仿宋" w:eastAsia="仿宋"/>
          <w:kern w:val="0"/>
          <w:sz w:val="32"/>
          <w:szCs w:val="32"/>
        </w:rPr>
      </w:pPr>
      <w:r>
        <w:rPr>
          <w:rFonts w:ascii="仿宋" w:eastAsia="仿宋" w:hint="eastAsia"/>
          <w:kern w:val="0"/>
          <w:sz w:val="32"/>
          <w:szCs w:val="32"/>
        </w:rPr>
        <w:t>四、一般公共预算基本支出和项目支出部门经济分类科目表</w:t>
      </w:r>
    </w:p>
    <w:p>
      <w:pPr>
        <w:ind w:firstLineChars="225" w:firstLine="720"/>
        <w:rPr>
          <w:rFonts w:ascii="仿宋" w:eastAsia="仿宋"/>
          <w:kern w:val="0"/>
          <w:sz w:val="32"/>
          <w:szCs w:val="32"/>
        </w:rPr>
      </w:pPr>
      <w:r>
        <w:rPr>
          <w:rFonts w:ascii="仿宋" w:eastAsia="仿宋" w:hint="eastAsia"/>
          <w:kern w:val="0"/>
          <w:sz w:val="32"/>
          <w:szCs w:val="32"/>
        </w:rPr>
        <w:t>五、一般公共预算“三公”经费支出表</w:t>
      </w:r>
    </w:p>
    <w:p>
      <w:pPr>
        <w:ind w:firstLineChars="225" w:firstLine="720"/>
        <w:rPr>
          <w:rFonts w:ascii="仿宋" w:eastAsia="仿宋"/>
          <w:kern w:val="0"/>
          <w:sz w:val="32"/>
          <w:szCs w:val="32"/>
        </w:rPr>
      </w:pPr>
      <w:r>
        <w:rPr>
          <w:rFonts w:ascii="仿宋" w:eastAsia="仿宋" w:hint="eastAsia"/>
          <w:kern w:val="0"/>
          <w:sz w:val="32"/>
          <w:szCs w:val="32"/>
        </w:rPr>
        <w:t>六、政府性基金预算支出明细表</w:t>
      </w:r>
    </w:p>
    <w:p>
      <w:pPr>
        <w:ind w:firstLineChars="225" w:firstLine="720"/>
        <w:rPr>
          <w:rFonts w:ascii="仿宋" w:eastAsia="仿宋"/>
          <w:kern w:val="0"/>
          <w:sz w:val="32"/>
          <w:szCs w:val="32"/>
        </w:rPr>
      </w:pPr>
      <w:r>
        <w:rPr>
          <w:rFonts w:ascii="仿宋" w:eastAsia="仿宋" w:hint="eastAsia"/>
          <w:kern w:val="0"/>
          <w:sz w:val="32"/>
          <w:szCs w:val="32"/>
        </w:rPr>
        <w:t>七、部门收支预算总表</w:t>
      </w:r>
    </w:p>
    <w:p>
      <w:pPr>
        <w:ind w:firstLineChars="225" w:firstLine="720"/>
        <w:rPr>
          <w:rFonts w:ascii="仿宋" w:eastAsia="仿宋"/>
          <w:kern w:val="0"/>
          <w:sz w:val="32"/>
          <w:szCs w:val="32"/>
        </w:rPr>
      </w:pPr>
      <w:r>
        <w:rPr>
          <w:rFonts w:ascii="仿宋" w:eastAsia="仿宋" w:hint="eastAsia"/>
          <w:kern w:val="0"/>
          <w:sz w:val="32"/>
          <w:szCs w:val="32"/>
        </w:rPr>
        <w:t>八、部门收入总表</w:t>
      </w:r>
    </w:p>
    <w:p>
      <w:pPr>
        <w:ind w:firstLineChars="225" w:firstLine="720"/>
        <w:rPr>
          <w:rFonts w:ascii="仿宋" w:eastAsia="仿宋"/>
          <w:kern w:val="0"/>
          <w:sz w:val="32"/>
          <w:szCs w:val="32"/>
        </w:rPr>
      </w:pPr>
      <w:r>
        <w:rPr>
          <w:rFonts w:ascii="仿宋" w:eastAsia="仿宋" w:hint="eastAsia"/>
          <w:kern w:val="0"/>
          <w:sz w:val="32"/>
          <w:szCs w:val="32"/>
        </w:rPr>
        <w:t>九、部门支出总表</w:t>
      </w:r>
    </w:p>
    <w:p>
      <w:pPr>
        <w:ind w:firstLineChars="225" w:firstLine="720"/>
        <w:rPr>
          <w:rFonts w:ascii="黑体" w:eastAsia="黑体"/>
          <w:kern w:val="0"/>
          <w:sz w:val="32"/>
          <w:szCs w:val="32"/>
        </w:rPr>
      </w:pPr>
      <w:r>
        <w:rPr>
          <w:rFonts w:ascii="黑体" w:eastAsia="黑体" w:hint="eastAsia"/>
          <w:kern w:val="0"/>
          <w:sz w:val="32"/>
          <w:szCs w:val="32"/>
        </w:rPr>
        <w:t>第三部分   2018年部门预算情况说明</w:t>
      </w:r>
    </w:p>
    <w:p>
      <w:pPr>
        <w:ind w:firstLineChars="225" w:firstLine="720"/>
        <w:rPr>
          <w:rFonts w:ascii="黑体" w:eastAsia="黑体"/>
          <w:kern w:val="0"/>
          <w:sz w:val="32"/>
          <w:szCs w:val="32"/>
        </w:rPr>
      </w:pPr>
      <w:r>
        <w:rPr>
          <w:rFonts w:ascii="黑体" w:eastAsia="黑体" w:hint="eastAsia"/>
          <w:kern w:val="0"/>
          <w:sz w:val="32"/>
          <w:szCs w:val="32"/>
        </w:rPr>
        <w:t>第四部门   名词解释</w:t>
      </w:r>
    </w:p>
    <w:p>
      <w:pPr>
        <w:jc w:val="center"/>
        <w:rPr>
          <w:rFonts w:ascii="方正小标宋简体" w:eastAsia="方正小标宋简体" w:hint="eastAsia"/>
          <w:kern w:val="0"/>
          <w:sz w:val="44"/>
          <w:szCs w:val="44"/>
        </w:rPr>
      </w:pPr>
    </w:p>
    <w:p>
      <w:pPr>
        <w:jc w:val="center"/>
        <w:rPr>
          <w:rFonts w:ascii="方正小标宋简体" w:eastAsia="方正小标宋简体"/>
          <w:kern w:val="0"/>
          <w:sz w:val="44"/>
          <w:szCs w:val="44"/>
        </w:rPr>
      </w:pPr>
    </w:p>
    <w:p>
      <w:pPr>
        <w:jc w:val="center"/>
        <w:rPr>
          <w:rFonts w:ascii="方正小标宋简体" w:eastAsia="方正小标宋简体"/>
          <w:kern w:val="0"/>
          <w:sz w:val="44"/>
          <w:szCs w:val="44"/>
        </w:rPr>
      </w:pPr>
      <w:r>
        <w:rPr>
          <w:rFonts w:ascii="方正小标宋简体" w:eastAsia="方正小标宋简体" w:hint="eastAsia"/>
          <w:kern w:val="0"/>
          <w:sz w:val="44"/>
          <w:szCs w:val="44"/>
        </w:rPr>
        <w:t>吴忠青铜峡新材料基地管理委员会</w:t>
      </w:r>
    </w:p>
    <w:p>
      <w:pPr>
        <w:jc w:val="center"/>
        <w:rPr>
          <w:rFonts w:ascii="方正小标宋简体" w:eastAsia="方正小标宋简体"/>
          <w:kern w:val="0"/>
          <w:sz w:val="44"/>
          <w:szCs w:val="44"/>
        </w:rPr>
      </w:pPr>
      <w:r>
        <w:rPr>
          <w:rFonts w:ascii="方正小标宋简体" w:eastAsia="方正小标宋简体" w:hint="eastAsia"/>
          <w:kern w:val="0"/>
          <w:sz w:val="44"/>
          <w:szCs w:val="44"/>
        </w:rPr>
        <w:t>2018年部门预算——单位概况</w:t>
      </w:r>
    </w:p>
    <w:p>
      <w:pPr>
        <w:ind w:firstLineChars="224" w:firstLine="716"/>
        <w:rPr>
          <w:rFonts w:ascii="仿宋" w:eastAsia="仿宋"/>
          <w:kern w:val="0"/>
          <w:sz w:val="32"/>
          <w:szCs w:val="32"/>
        </w:rPr>
      </w:pPr>
    </w:p>
    <w:p>
      <w:pPr>
        <w:ind w:firstLineChars="224" w:firstLine="716"/>
        <w:rPr>
          <w:rFonts w:ascii="??" w:cs="??" w:hAnsi="??"/>
          <w:kern w:val="0"/>
          <w:sz w:val="32"/>
          <w:szCs w:val="32"/>
        </w:rPr>
      </w:pPr>
      <w:r>
        <w:rPr>
          <w:rFonts w:ascii="宋体" w:cs="宋体" w:hint="eastAsia"/>
          <w:sz w:val="32"/>
          <w:szCs w:val="32"/>
        </w:rPr>
        <w:t>吴忠青铜峡新材料基地管理委员会为吴忠市人民政府直属正处级事业机构，由吴忠市人民政府委托青铜峡市人民政府代管。</w:t>
      </w:r>
      <w:r>
        <w:rPr>
          <w:rFonts w:ascii="宋体" w:cs="宋体" w:hint="eastAsia"/>
          <w:kern w:val="0"/>
          <w:sz w:val="32"/>
          <w:szCs w:val="32"/>
        </w:rPr>
        <w:t>内设</w:t>
      </w:r>
      <w:r>
        <w:rPr>
          <w:rFonts w:ascii="宋体" w:cs="宋体" w:hint="eastAsia"/>
          <w:color w:val="000000"/>
          <w:kern w:val="0"/>
          <w:sz w:val="32"/>
          <w:szCs w:val="32"/>
        </w:rPr>
        <w:t>办公室、经济合作部、工业服务部、规划建设部、安监环保部</w:t>
      </w:r>
      <w:r>
        <w:rPr>
          <w:rFonts w:ascii="宋体" w:cs="宋体"/>
          <w:kern w:val="0"/>
          <w:sz w:val="32"/>
          <w:szCs w:val="32"/>
        </w:rPr>
        <w:t>5</w:t>
      </w:r>
      <w:r>
        <w:rPr>
          <w:rFonts w:ascii="宋体" w:cs="宋体" w:hint="eastAsia"/>
          <w:kern w:val="0"/>
          <w:sz w:val="32"/>
          <w:szCs w:val="32"/>
        </w:rPr>
        <w:t>个部（室），人员编制</w:t>
      </w:r>
      <w:r>
        <w:rPr>
          <w:rFonts w:ascii="宋体" w:cs="宋体"/>
          <w:kern w:val="0"/>
          <w:sz w:val="32"/>
          <w:szCs w:val="32"/>
        </w:rPr>
        <w:t>23</w:t>
      </w:r>
      <w:r>
        <w:rPr>
          <w:rFonts w:ascii="宋体" w:cs="宋体" w:hint="eastAsia"/>
          <w:kern w:val="0"/>
          <w:sz w:val="32"/>
          <w:szCs w:val="32"/>
        </w:rPr>
        <w:t>名，现有工作人员</w:t>
      </w:r>
      <w:r>
        <w:rPr>
          <w:rFonts w:ascii="宋体" w:cs="宋体"/>
          <w:kern w:val="0"/>
          <w:sz w:val="32"/>
          <w:szCs w:val="32"/>
        </w:rPr>
        <w:t>18</w:t>
      </w:r>
      <w:r>
        <w:rPr>
          <w:rFonts w:ascii="宋体" w:cs="宋体" w:hint="eastAsia"/>
          <w:kern w:val="0"/>
          <w:sz w:val="32"/>
          <w:szCs w:val="32"/>
        </w:rPr>
        <w:t>名。</w:t>
      </w:r>
    </w:p>
    <w:p>
      <w:pPr>
        <w:ind w:firstLineChars="224" w:firstLine="716"/>
        <w:rPr>
          <w:rFonts w:ascii="方正黑体_GBK" w:eastAsia="方正黑体_GBK"/>
          <w:kern w:val="0"/>
          <w:sz w:val="32"/>
          <w:szCs w:val="32"/>
        </w:rPr>
      </w:pPr>
      <w:r>
        <w:rPr>
          <w:rFonts w:ascii="方正黑体_GBK" w:eastAsia="方正黑体_GBK" w:cs="方正黑体_GBK" w:hint="eastAsia"/>
          <w:kern w:val="0"/>
          <w:sz w:val="32"/>
          <w:szCs w:val="32"/>
        </w:rPr>
        <w:t>一、</w:t>
      </w:r>
      <w:r>
        <w:rPr>
          <w:rFonts w:ascii="方正黑体_GBK" w:eastAsia="方正黑体_GBK" w:cs="方正黑体_GBK" w:hint="eastAsia"/>
          <w:color w:val="000000"/>
          <w:kern w:val="0"/>
          <w:sz w:val="32"/>
          <w:szCs w:val="32"/>
        </w:rPr>
        <w:t>主要职能</w:t>
      </w:r>
      <w:r>
        <w:rPr>
          <w:rFonts w:ascii="方正黑体_GBK" w:eastAsia="方正黑体_GBK"/>
          <w:kern w:val="0"/>
          <w:sz w:val="32"/>
          <w:szCs w:val="32"/>
        </w:rPr>
        <w:t> </w:t>
      </w:r>
    </w:p>
    <w:p>
      <w:pPr>
        <w:adjustRightInd w:val="0"/>
        <w:snapToGrid w:val="0"/>
        <w:spacing w:line="580" w:lineRule="exact"/>
        <w:ind w:firstLine="720"/>
        <w:jc w:val="left"/>
        <w:rPr>
          <w:rFonts w:ascii="宋体"/>
          <w:color w:val="000000"/>
          <w:sz w:val="32"/>
          <w:szCs w:val="32"/>
        </w:rPr>
      </w:pPr>
      <w:r>
        <w:rPr>
          <w:rFonts w:ascii="宋体" w:cs="宋体"/>
          <w:color w:val="000000"/>
          <w:sz w:val="32"/>
          <w:szCs w:val="32"/>
        </w:rPr>
        <w:t>1</w:t>
      </w:r>
      <w:r>
        <w:rPr>
          <w:rFonts w:ascii="宋体" w:cs="宋体" w:hint="eastAsia"/>
          <w:color w:val="000000"/>
          <w:sz w:val="32"/>
          <w:szCs w:val="32"/>
        </w:rPr>
        <w:t>、根据国家、自治区、吴忠市、青铜峡市经济与社会发展的方针、政策、法规，研究制定新材料基地发展目标、政策措施，编制新材料基地各项规划。</w:t>
      </w:r>
    </w:p>
    <w:p>
      <w:pPr>
        <w:tabs>
          <w:tab w:val="left" w:pos="0"/>
        </w:tabs>
        <w:adjustRightInd w:val="0"/>
        <w:snapToGrid w:val="0"/>
        <w:spacing w:line="580" w:lineRule="exact"/>
        <w:ind w:firstLineChars="200" w:firstLine="640"/>
        <w:jc w:val="left"/>
        <w:rPr>
          <w:rFonts w:ascii="宋体"/>
          <w:color w:val="000000"/>
          <w:kern w:val="0"/>
          <w:sz w:val="32"/>
          <w:szCs w:val="32"/>
        </w:rPr>
      </w:pPr>
      <w:r>
        <w:rPr>
          <w:rFonts w:ascii="宋体" w:cs="宋体"/>
          <w:color w:val="000000"/>
          <w:sz w:val="32"/>
          <w:szCs w:val="32"/>
        </w:rPr>
        <w:t>2</w:t>
      </w:r>
      <w:r>
        <w:rPr>
          <w:rFonts w:ascii="宋体" w:cs="宋体" w:hint="eastAsia"/>
          <w:color w:val="000000"/>
          <w:sz w:val="32"/>
          <w:szCs w:val="32"/>
        </w:rPr>
        <w:t>、</w:t>
      </w:r>
      <w:r>
        <w:rPr>
          <w:rFonts w:ascii="宋体" w:cs="宋体" w:hint="eastAsia"/>
          <w:color w:val="000000"/>
          <w:kern w:val="0"/>
          <w:sz w:val="32"/>
          <w:szCs w:val="32"/>
        </w:rPr>
        <w:t>负责新材料基地党的建设、廉政建设、精神文明建设，指导新材料基地各企业党组织的党务、党建和工会工作，充分发挥企业党组织的战斗堡垒作用；负责统战、工会、共青团、妇女和其他群众组织的建设及日常管理工作。</w:t>
      </w:r>
    </w:p>
    <w:p>
      <w:pPr>
        <w:adjustRightInd w:val="0"/>
        <w:snapToGrid w:val="0"/>
        <w:spacing w:line="580" w:lineRule="exact"/>
        <w:ind w:firstLineChars="200" w:firstLine="640"/>
        <w:jc w:val="left"/>
        <w:rPr>
          <w:rFonts w:ascii="宋体"/>
          <w:color w:val="000000"/>
          <w:kern w:val="0"/>
          <w:sz w:val="32"/>
          <w:szCs w:val="32"/>
        </w:rPr>
      </w:pPr>
      <w:r>
        <w:rPr>
          <w:rFonts w:ascii="宋体" w:cs="宋体"/>
          <w:color w:val="000000"/>
          <w:kern w:val="0"/>
          <w:sz w:val="32"/>
          <w:szCs w:val="32"/>
        </w:rPr>
        <w:t>3</w:t>
      </w:r>
      <w:r>
        <w:rPr>
          <w:rFonts w:ascii="宋体" w:cs="宋体" w:hint="eastAsia"/>
          <w:color w:val="000000"/>
          <w:kern w:val="0"/>
          <w:sz w:val="32"/>
          <w:szCs w:val="32"/>
        </w:rPr>
        <w:t>、积极开展经济合作，加大招商引资力度，加快基地产业发展；代办、领办新入驻企业的行政许可，督办项目建设进度，审核、申报招商引资优惠政策的兑现事宜。</w:t>
      </w:r>
    </w:p>
    <w:p>
      <w:pPr>
        <w:adjustRightInd w:val="0"/>
        <w:snapToGrid w:val="0"/>
        <w:spacing w:line="580" w:lineRule="exact"/>
        <w:ind w:firstLineChars="200" w:firstLine="640"/>
        <w:jc w:val="left"/>
        <w:rPr>
          <w:rFonts w:ascii="宋体"/>
          <w:color w:val="000000"/>
          <w:kern w:val="0"/>
          <w:sz w:val="32"/>
          <w:szCs w:val="32"/>
        </w:rPr>
      </w:pPr>
      <w:r>
        <w:rPr>
          <w:rFonts w:ascii="宋体" w:cs="宋体"/>
          <w:color w:val="000000"/>
          <w:kern w:val="0"/>
          <w:sz w:val="32"/>
          <w:szCs w:val="32"/>
        </w:rPr>
        <w:t>4</w:t>
      </w:r>
      <w:r>
        <w:rPr>
          <w:rFonts w:ascii="宋体" w:cs="宋体" w:hint="eastAsia"/>
          <w:color w:val="000000"/>
          <w:kern w:val="0"/>
          <w:sz w:val="32"/>
          <w:szCs w:val="32"/>
        </w:rPr>
        <w:t>、负责新材料基地内企业的经济运行监测，分析统计工业经济指标，做好企业技术改造、产业升级、科技创新等项目的审核、申报，落实企业节能减排和“三废”治理工作。</w:t>
      </w:r>
    </w:p>
    <w:p>
      <w:pPr>
        <w:adjustRightInd w:val="0"/>
        <w:snapToGrid w:val="0"/>
        <w:spacing w:line="580" w:lineRule="exact"/>
        <w:ind w:firstLineChars="200" w:firstLine="640"/>
        <w:jc w:val="left"/>
        <w:rPr>
          <w:rFonts w:ascii="宋体"/>
          <w:color w:val="000000"/>
          <w:kern w:val="0"/>
          <w:sz w:val="32"/>
          <w:szCs w:val="32"/>
        </w:rPr>
      </w:pPr>
      <w:r>
        <w:rPr>
          <w:rFonts w:ascii="宋体" w:cs="宋体"/>
          <w:color w:val="000000"/>
          <w:kern w:val="0"/>
          <w:sz w:val="32"/>
          <w:szCs w:val="32"/>
        </w:rPr>
        <w:t>5</w:t>
      </w:r>
      <w:r>
        <w:rPr>
          <w:rFonts w:ascii="宋体" w:cs="宋体" w:hint="eastAsia"/>
          <w:color w:val="000000"/>
          <w:kern w:val="0"/>
          <w:sz w:val="32"/>
          <w:szCs w:val="32"/>
        </w:rPr>
        <w:t>、</w:t>
      </w:r>
      <w:r>
        <w:rPr>
          <w:rFonts w:ascii="宋体" w:cs="宋体" w:hint="eastAsia"/>
          <w:sz w:val="32"/>
          <w:szCs w:val="32"/>
        </w:rPr>
        <w:t>负责新材料基地综合治理、信访维稳、社会创新管理工作；配合行政执法部门加大对企业安全生产、环境保护的监督力度；负责基地公共服务区的管理和基地内的环境整治工作。</w:t>
      </w:r>
    </w:p>
    <w:p>
      <w:pPr>
        <w:adjustRightInd w:val="0"/>
        <w:snapToGrid w:val="0"/>
        <w:spacing w:line="580" w:lineRule="exact"/>
        <w:ind w:firstLineChars="200" w:firstLine="640"/>
        <w:jc w:val="left"/>
        <w:rPr>
          <w:rFonts w:ascii="宋体"/>
          <w:sz w:val="32"/>
          <w:szCs w:val="32"/>
        </w:rPr>
      </w:pPr>
      <w:r>
        <w:rPr>
          <w:rFonts w:ascii="宋体" w:cs="宋体"/>
          <w:sz w:val="32"/>
          <w:szCs w:val="32"/>
        </w:rPr>
        <w:t>6</w:t>
      </w:r>
      <w:r>
        <w:rPr>
          <w:rFonts w:ascii="宋体" w:cs="宋体" w:hint="eastAsia"/>
          <w:sz w:val="32"/>
          <w:szCs w:val="32"/>
        </w:rPr>
        <w:t>、</w:t>
      </w:r>
      <w:r>
        <w:rPr>
          <w:rFonts w:ascii="宋体" w:cs="宋体" w:hint="eastAsia"/>
          <w:color w:val="000000"/>
          <w:kern w:val="0"/>
          <w:sz w:val="32"/>
          <w:szCs w:val="32"/>
        </w:rPr>
        <w:t>负责新材料基地范围内土地、道路、供水、排污、供电、绿化、通讯、供气、供热等公共资源的规划协调管理，完善基地基础设施，保障企业基本的生产、生活条件。</w:t>
      </w:r>
    </w:p>
    <w:p>
      <w:pPr>
        <w:adjustRightInd w:val="0"/>
        <w:snapToGrid w:val="0"/>
        <w:spacing w:line="580" w:lineRule="exact"/>
        <w:ind w:firstLineChars="200" w:firstLine="640"/>
        <w:jc w:val="left"/>
        <w:rPr>
          <w:rFonts w:ascii="宋体"/>
          <w:sz w:val="32"/>
          <w:szCs w:val="32"/>
        </w:rPr>
      </w:pPr>
      <w:r>
        <w:rPr>
          <w:rFonts w:ascii="宋体" w:cs="宋体"/>
          <w:sz w:val="32"/>
          <w:szCs w:val="32"/>
        </w:rPr>
        <w:t>7</w:t>
      </w:r>
      <w:r>
        <w:rPr>
          <w:rFonts w:ascii="宋体" w:cs="宋体" w:hint="eastAsia"/>
          <w:sz w:val="32"/>
          <w:szCs w:val="32"/>
        </w:rPr>
        <w:t>、承办吴忠市、青铜峡市市委、政府交办的其他工作。</w:t>
      </w:r>
    </w:p>
    <w:p>
      <w:pPr>
        <w:ind w:firstLineChars="224" w:firstLine="716"/>
        <w:rPr>
          <w:rFonts w:ascii="方正黑体_GBK" w:eastAsia="方正黑体_GBK"/>
          <w:kern w:val="0"/>
          <w:sz w:val="32"/>
          <w:szCs w:val="32"/>
        </w:rPr>
      </w:pPr>
      <w:r>
        <w:rPr>
          <w:rFonts w:ascii="方正黑体_GBK" w:eastAsia="方正黑体_GBK" w:cs="方正黑体_GBK" w:hint="eastAsia"/>
          <w:kern w:val="0"/>
          <w:sz w:val="32"/>
          <w:szCs w:val="32"/>
        </w:rPr>
        <w:t>二、部门预算单位构成</w:t>
      </w:r>
    </w:p>
    <w:p>
      <w:pPr>
        <w:snapToGrid w:val="0"/>
        <w:spacing w:line="600" w:lineRule="exact"/>
        <w:ind w:firstLineChars="195" w:firstLine="624"/>
        <w:rPr>
          <w:rFonts w:ascii="宋体"/>
          <w:sz w:val="32"/>
          <w:szCs w:val="32"/>
        </w:rPr>
      </w:pPr>
      <w:r>
        <w:rPr>
          <w:rFonts w:ascii="宋体" w:cs="宋体" w:hint="eastAsia"/>
          <w:color w:val="000000"/>
          <w:kern w:val="0"/>
          <w:sz w:val="32"/>
          <w:szCs w:val="32"/>
        </w:rPr>
        <w:t>从预算单位构成看，吴忠青铜峡新材料基地管理委员会部门预算仅包括本级预算、无所属事业单位预算。无纳入吴忠青铜峡新材料基地管理委员</w:t>
      </w:r>
      <w:r>
        <w:rPr>
          <w:rFonts w:ascii="宋体" w:cs="宋体"/>
          <w:color w:val="000000"/>
          <w:kern w:val="0"/>
          <w:sz w:val="32"/>
          <w:szCs w:val="32"/>
        </w:rPr>
        <w:t>201</w:t>
      </w:r>
      <w:r>
        <w:rPr>
          <w:rFonts w:ascii="宋体" w:cs="宋体" w:hint="eastAsia"/>
          <w:color w:val="000000"/>
          <w:kern w:val="0"/>
          <w:sz w:val="32"/>
          <w:szCs w:val="32"/>
        </w:rPr>
        <w:t>8年部门预算编制的二级预算单位。</w:t>
      </w:r>
    </w:p>
    <w:p>
      <w:pPr>
        <w:ind w:firstLineChars="224" w:firstLine="716"/>
        <w:rPr>
          <w:rFonts w:ascii="仿宋" w:eastAsia="仿宋"/>
          <w:kern w:val="0"/>
          <w:sz w:val="32"/>
          <w:szCs w:val="32"/>
        </w:rPr>
        <w:sectPr>
          <w:headerReference w:type="default" r:id="rId2"/>
          <w:pgSz w:w="11906" w:h="16838"/>
          <w:pgMar w:top="1418" w:right="1474" w:bottom="1418" w:left="1644" w:header="851" w:footer="992" w:gutter="0"/>
          <w:docGrid w:type="lines" w:linePitch="312" w:charSpace="0"/>
        </w:sectPr>
      </w:pPr>
    </w:p>
    <w:p>
      <w:pPr>
        <w:jc w:val="center"/>
        <w:rPr>
          <w:rFonts w:ascii="方正小标宋简体" w:eastAsia="方正小标宋简体"/>
          <w:kern w:val="0"/>
          <w:sz w:val="44"/>
          <w:szCs w:val="44"/>
        </w:rPr>
      </w:pPr>
      <w:r>
        <w:rPr>
          <w:rFonts w:ascii="方正小标宋简体" w:eastAsia="方正小标宋简体" w:hint="eastAsia"/>
          <w:kern w:val="0"/>
          <w:sz w:val="44"/>
          <w:szCs w:val="44"/>
        </w:rPr>
        <w:t>吴忠青铜峡新材料基地管理委员会2018年部门预算——预算表</w:t>
      </w:r>
    </w:p>
    <w:p>
      <w:pPr>
        <w:rPr>
          <w:rFonts w:ascii="黑体" w:eastAsia="黑体"/>
          <w:kern w:val="0"/>
          <w:sz w:val="24"/>
        </w:rPr>
      </w:pPr>
      <w:r>
        <w:rPr>
          <w:rFonts w:ascii="黑体" w:eastAsia="黑体" w:hint="eastAsia"/>
          <w:kern w:val="0"/>
          <w:sz w:val="32"/>
          <w:szCs w:val="32"/>
        </w:rPr>
        <w:t>一、财政拨款收支预算总表</w:t>
      </w:r>
    </w:p>
    <w:p>
      <w:pPr>
        <w:jc w:val="center"/>
        <w:rPr>
          <w:rFonts w:ascii="仿宋" w:eastAsia="仿宋"/>
          <w:kern w:val="0"/>
          <w:sz w:val="32"/>
          <w:szCs w:val="32"/>
        </w:rPr>
      </w:pPr>
      <w:r>
        <w:rPr>
          <w:rFonts w:ascii="仿宋" w:eastAsia="仿宋" w:hint="eastAsia"/>
          <w:b/>
          <w:kern w:val="0"/>
          <w:sz w:val="32"/>
          <w:szCs w:val="32"/>
        </w:rPr>
        <w:t>财政拨款收支预算总表</w:t>
      </w:r>
    </w:p>
    <w:p>
      <w:pPr>
        <w:rPr>
          <w:rFonts w:ascii="仿宋" w:eastAsia="仿宋"/>
          <w:kern w:val="0"/>
          <w:sz w:val="28"/>
          <w:szCs w:val="28"/>
        </w:rPr>
      </w:pPr>
      <w:r>
        <w:rPr>
          <w:rFonts w:ascii="仿宋" w:eastAsia="仿宋" w:hint="eastAsia"/>
          <w:kern w:val="0"/>
          <w:sz w:val="32"/>
          <w:szCs w:val="32"/>
        </w:rPr>
        <w:t xml:space="preserve">                                                            </w:t>
      </w:r>
      <w:r>
        <w:rPr>
          <w:rFonts w:ascii="仿宋" w:eastAsia="仿宋" w:hint="eastAsia"/>
          <w:kern w:val="0"/>
          <w:sz w:val="28"/>
          <w:szCs w:val="28"/>
        </w:rPr>
        <w:t xml:space="preserve"> 单位：万元</w:t>
      </w:r>
    </w:p>
    <w:tbl>
      <w:tblPr>
        <w:jc w:val="left"/>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852"/>
        <w:gridCol w:w="1364"/>
        <w:gridCol w:w="3852"/>
        <w:gridCol w:w="1364"/>
        <w:gridCol w:w="1364"/>
        <w:gridCol w:w="2013"/>
      </w:tblGrid>
      <w:tr>
        <w:tc>
          <w:tcPr>
            <w:tcW w:w="5216" w:type="dxa"/>
            <w:gridSpan w:val="2"/>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int="eastAsia"/>
                <w:b/>
                <w:color w:val="000000"/>
                <w:kern w:val="0"/>
                <w:sz w:val="22"/>
                <w:szCs w:val="22"/>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int="eastAsia"/>
                <w:b/>
                <w:color w:val="000000"/>
                <w:kern w:val="0"/>
                <w:sz w:val="22"/>
                <w:szCs w:val="22"/>
              </w:rPr>
              <w:t>出</w:t>
            </w:r>
          </w:p>
        </w:tc>
      </w:tr>
      <w:tr>
        <w:tc>
          <w:tcPr>
            <w:tcW w:w="3852" w:type="dxa"/>
            <w:vMerge w:val="restart"/>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项</w:t>
            </w:r>
            <w:r>
              <w:rPr>
                <w:rFonts w:ascii="宋体" w:eastAsia="仿宋" w:hAnsi="宋体" w:hint="eastAsia"/>
                <w:b/>
                <w:color w:val="000000"/>
                <w:kern w:val="0"/>
                <w:sz w:val="22"/>
                <w:szCs w:val="22"/>
              </w:rPr>
              <w:t>   </w:t>
            </w:r>
            <w:r>
              <w:rPr>
                <w:rFonts w:ascii="仿宋" w:eastAsia="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预算数</w:t>
            </w:r>
          </w:p>
        </w:tc>
      </w:tr>
      <w:tr>
        <w:tc>
          <w:tcPr>
            <w:tcW w:w="3852" w:type="dxa"/>
            <w:vMerge/>
            <w:tcBorders>
              <w:top w:val="single" w:sz="8" w:space="0" w:color="000000"/>
              <w:left w:val="single" w:sz="8" w:space="0" w:color="000000"/>
              <w:bottom w:val="single" w:sz="8" w:space="0" w:color="000000"/>
              <w:right w:val="single" w:sz="8" w:space="0" w:color="000000"/>
            </w:tcBorders>
            <w:vAlign w:val="center"/>
          </w:tcPr>
          <w:p/>
        </w:tc>
        <w:tc>
          <w:tcPr>
            <w:tcW w:w="1364" w:type="dxa"/>
            <w:vMerge/>
            <w:tcBorders>
              <w:top w:val="single" w:sz="8" w:space="0" w:color="000000"/>
              <w:left w:val="single" w:sz="8" w:space="0" w:color="000000"/>
              <w:bottom w:val="single" w:sz="8" w:space="0" w:color="000000"/>
              <w:right w:val="single" w:sz="8" w:space="0" w:color="000000"/>
            </w:tcBorders>
            <w:vAlign w:val="center"/>
          </w:tcPr>
          <w:p/>
        </w:tc>
        <w:tc>
          <w:tcPr>
            <w:tcW w:w="3852" w:type="dxa"/>
            <w:vMerge/>
            <w:tcBorders>
              <w:top w:val="single" w:sz="8" w:space="0" w:color="000000"/>
              <w:left w:val="single" w:sz="8" w:space="0" w:color="000000"/>
              <w:bottom w:val="single" w:sz="8" w:space="0" w:color="000000"/>
              <w:right w:val="single" w:sz="8" w:space="0" w:color="000000"/>
            </w:tcBorders>
            <w:vAlign w:val="center"/>
          </w:tcPr>
          <w:p/>
        </w:tc>
        <w:tc>
          <w:tcPr>
            <w:tcW w:w="1364"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政府性基金预算财政拨款</w:t>
            </w:r>
          </w:p>
        </w:tc>
      </w:tr>
      <w:tr>
        <w:trPr>
          <w:trHeight w:val="380"/>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b/>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r>
      <w:tr>
        <w:trPr>
          <w:trHeight w:val="443"/>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361.44</w:t>
            </w: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34.33</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34.33</w:t>
            </w: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9.80</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9.80</w:t>
            </w: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rPr>
          <w:trHeight w:val="442"/>
        </w:trPr>
        <w:tc>
          <w:tcPr>
            <w:tcW w:w="5216" w:type="dxa"/>
            <w:gridSpan w:val="2"/>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int="eastAsia"/>
                <w:b/>
                <w:color w:val="000000"/>
                <w:kern w:val="0"/>
                <w:sz w:val="22"/>
                <w:szCs w:val="22"/>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18"/>
                <w:szCs w:val="18"/>
              </w:rPr>
            </w:pPr>
            <w:r>
              <w:rPr>
                <w:rFonts w:ascii="仿宋" w:eastAsia="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int="eastAsia"/>
                <w:b/>
                <w:color w:val="000000"/>
                <w:kern w:val="0"/>
                <w:sz w:val="22"/>
                <w:szCs w:val="22"/>
              </w:rPr>
              <w:t>出</w:t>
            </w:r>
          </w:p>
        </w:tc>
      </w:tr>
      <w:tr>
        <w:tc>
          <w:tcPr>
            <w:tcW w:w="3852" w:type="dxa"/>
            <w:vMerge w:val="restart"/>
            <w:tcBorders>
              <w:top w:val="single" w:sz="8" w:space="0" w:color="000000"/>
              <w:left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项   目</w:t>
            </w:r>
          </w:p>
        </w:tc>
        <w:tc>
          <w:tcPr>
            <w:tcW w:w="1364" w:type="dxa"/>
            <w:vMerge w:val="restart"/>
            <w:tcBorders>
              <w:top w:val="single" w:sz="8" w:space="0" w:color="000000"/>
              <w:left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18"/>
                <w:szCs w:val="18"/>
              </w:rPr>
            </w:pPr>
            <w:r>
              <w:rPr>
                <w:rFonts w:ascii="仿宋" w:eastAsia="仿宋" w:hint="eastAsia"/>
                <w:b/>
                <w:color w:val="000000"/>
                <w:kern w:val="0"/>
                <w:sz w:val="22"/>
                <w:szCs w:val="22"/>
              </w:rPr>
              <w:t>预算数</w:t>
            </w:r>
          </w:p>
        </w:tc>
      </w:tr>
      <w:tr>
        <w:tc>
          <w:tcPr>
            <w:tcW w:w="3852" w:type="dxa"/>
            <w:vMerge/>
            <w:tcBorders>
              <w:left w:val="single" w:sz="8" w:space="0" w:color="000000"/>
              <w:bottom w:val="single" w:sz="8" w:space="0" w:color="000000"/>
              <w:right w:val="single" w:sz="8" w:space="0" w:color="000000"/>
            </w:tcBorders>
            <w:vAlign w:val="center"/>
          </w:tcPr>
          <w:p/>
        </w:tc>
        <w:tc>
          <w:tcPr>
            <w:tcW w:w="1364" w:type="dxa"/>
            <w:vMerge/>
            <w:tcBorders>
              <w:left w:val="single" w:sz="8" w:space="0" w:color="000000"/>
              <w:bottom w:val="single" w:sz="8" w:space="0" w:color="000000"/>
              <w:right w:val="single" w:sz="8" w:space="0" w:color="000000"/>
            </w:tcBorders>
            <w:vAlign w:val="center"/>
          </w:tcPr>
          <w:p/>
        </w:tc>
        <w:tc>
          <w:tcPr>
            <w:tcW w:w="3852" w:type="dxa"/>
            <w:vMerge/>
            <w:tcBorders>
              <w:left w:val="single" w:sz="8" w:space="0" w:color="000000"/>
              <w:bottom w:val="single" w:sz="8" w:space="0" w:color="000000"/>
              <w:right w:val="single" w:sz="8" w:space="0" w:color="000000"/>
            </w:tcBorders>
            <w:vAlign w:val="center"/>
          </w:tcPr>
          <w:p/>
        </w:tc>
        <w:tc>
          <w:tcPr>
            <w:tcW w:w="1364"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政府性基金预算财政拨款</w:t>
            </w:r>
          </w:p>
        </w:tc>
      </w:tr>
      <w:tr>
        <w:trPr>
          <w:trHeight w:val="41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宋体" w:cs="Arial"/>
                <w:color w:val="000000"/>
                <w:sz w:val="22"/>
                <w:szCs w:val="22"/>
              </w:rPr>
            </w:pPr>
          </w:p>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317.31</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317.31</w:t>
            </w: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rPr>
          <w:trHeight w:val="436"/>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（十六)金融支出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rPr>
          <w:trHeight w:val="455"/>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r>
      <w:tr>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r>
      <w:t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r>
      <w:tr>
        <w:trPr>
          <w:trHeight w:val="405"/>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b/>
                <w:color w:val="000000"/>
                <w:kern w:val="0"/>
                <w:sz w:val="22"/>
                <w:szCs w:val="22"/>
              </w:rPr>
              <w:t>　</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r>
      <w:tr>
        <w:trPr>
          <w:trHeight w:val="452"/>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b/>
                <w:color w:val="000000"/>
                <w:kern w:val="0"/>
                <w:sz w:val="22"/>
                <w:szCs w:val="22"/>
              </w:rPr>
              <w:t>二、年末结转结余</w:t>
            </w:r>
          </w:p>
        </w:tc>
        <w:tc>
          <w:tcPr>
            <w:tcW w:w="1364" w:type="dxa"/>
            <w:tcBorders>
              <w:top w:val="nil"/>
              <w:left w:val="nil"/>
              <w:bottom w:val="nil"/>
              <w:right w:val="nil"/>
            </w:tcBorders>
            <w:vAlign w:val="center"/>
          </w:tcPr>
          <w:p>
            <w:pPr>
              <w:rPr>
                <w:rFonts w:ascii="仿宋" w:eastAsia="仿宋"/>
                <w:kern w:val="0"/>
                <w:sz w:val="24"/>
              </w:rPr>
            </w:pPr>
            <w:r>
              <w:rPr>
                <w:rFonts w:ascii="仿宋" w:eastAsia="仿宋" w:hint="eastAsia"/>
                <w:color w:val="000000"/>
                <w:kern w:val="0"/>
                <w:sz w:val="22"/>
                <w:szCs w:val="22"/>
              </w:rPr>
              <w:t>　</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r>
      <w:tr>
        <w:trPr>
          <w:trHeight w:val="444"/>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c>
          <w:tcPr>
            <w:tcW w:w="136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color w:val="000000"/>
                <w:kern w:val="0"/>
                <w:sz w:val="22"/>
                <w:szCs w:val="22"/>
              </w:rPr>
              <w:t>　</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c>
          <w:tcPr>
            <w:tcW w:w="2013"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r>
      <w:tr>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kern w:val="0"/>
                <w:sz w:val="24"/>
              </w:rPr>
              <w:t>361.44</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支出总计                              361.44</w:t>
            </w:r>
          </w:p>
        </w:tc>
      </w:tr>
    </w:tbl>
    <w:p>
      <w:pPr>
        <w:rPr>
          <w:rFonts w:ascii="仿宋" w:eastAsia="仿宋"/>
          <w:kern w:val="0"/>
          <w:sz w:val="24"/>
        </w:rPr>
      </w:pPr>
    </w:p>
    <w:p>
      <w:pPr>
        <w:rPr>
          <w:rFonts w:ascii="仿宋" w:eastAsia="仿宋"/>
          <w:kern w:val="0"/>
          <w:sz w:val="32"/>
          <w:szCs w:val="32"/>
        </w:rPr>
      </w:pPr>
      <w:r>
        <w:rPr>
          <w:rFonts w:ascii="仿宋" w:eastAsia="仿宋" w:hint="eastAsia"/>
          <w:kern w:val="0"/>
          <w:sz w:val="32"/>
          <w:szCs w:val="32"/>
        </w:rPr>
        <w:t>注：支出预算功能科目各单位根据本单位实际据实填写。</w:t>
      </w:r>
    </w:p>
    <w:p>
      <w:pPr>
        <w:rPr>
          <w:rFonts w:ascii="黑体" w:eastAsia="黑体"/>
          <w:kern w:val="0"/>
          <w:sz w:val="32"/>
          <w:szCs w:val="32"/>
        </w:rPr>
      </w:pPr>
    </w:p>
    <w:p>
      <w:pPr>
        <w:rPr>
          <w:rFonts w:ascii="黑体" w:eastAsia="黑体"/>
          <w:kern w:val="0"/>
          <w:sz w:val="32"/>
          <w:szCs w:val="32"/>
        </w:rPr>
      </w:pPr>
    </w:p>
    <w:p>
      <w:pPr>
        <w:rPr>
          <w:rFonts w:ascii="黑体" w:eastAsia="黑体"/>
          <w:kern w:val="0"/>
          <w:sz w:val="24"/>
        </w:rPr>
      </w:pPr>
      <w:r>
        <w:rPr>
          <w:rFonts w:ascii="黑体" w:eastAsia="黑体" w:hint="eastAsia"/>
          <w:kern w:val="0"/>
          <w:sz w:val="32"/>
          <w:szCs w:val="32"/>
        </w:rPr>
        <w:t>二、财政拨款支出预算总表</w:t>
      </w:r>
    </w:p>
    <w:p>
      <w:pPr>
        <w:jc w:val="center"/>
        <w:rPr>
          <w:rFonts w:ascii="仿宋" w:eastAsia="仿宋"/>
          <w:kern w:val="0"/>
          <w:sz w:val="24"/>
        </w:rPr>
      </w:pPr>
      <w:r>
        <w:rPr>
          <w:rFonts w:ascii="仿宋" w:eastAsia="仿宋" w:hint="eastAsia"/>
          <w:b/>
          <w:kern w:val="0"/>
          <w:sz w:val="36"/>
          <w:szCs w:val="36"/>
        </w:rPr>
        <w:t>财政拨款支出预算总表</w:t>
      </w:r>
    </w:p>
    <w:p>
      <w:pPr>
        <w:rPr>
          <w:rFonts w:ascii="仿宋" w:eastAsia="仿宋"/>
          <w:kern w:val="0"/>
          <w:sz w:val="28"/>
          <w:szCs w:val="28"/>
        </w:rPr>
      </w:pPr>
      <w:r>
        <w:rPr>
          <w:rFonts w:ascii="仿宋" w:eastAsia="仿宋" w:hint="eastAsia"/>
          <w:kern w:val="0"/>
          <w:sz w:val="32"/>
          <w:szCs w:val="32"/>
        </w:rPr>
        <w:t xml:space="preserve">                                       </w:t>
      </w:r>
      <w:r>
        <w:rPr>
          <w:rFonts w:ascii="仿宋" w:eastAsia="仿宋" w:hint="eastAsia"/>
          <w:kern w:val="0"/>
          <w:sz w:val="28"/>
          <w:szCs w:val="28"/>
        </w:rPr>
        <w:t xml:space="preserve">   单位：万元</w:t>
      </w:r>
    </w:p>
    <w:tbl>
      <w:tblPr>
        <w:jc w:val="left"/>
        <w:tblW w:w="1382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081"/>
        <w:gridCol w:w="2027"/>
        <w:gridCol w:w="1336"/>
        <w:gridCol w:w="1336"/>
        <w:gridCol w:w="1335"/>
        <w:gridCol w:w="1335"/>
        <w:gridCol w:w="1335"/>
        <w:gridCol w:w="1365"/>
        <w:gridCol w:w="1335"/>
        <w:gridCol w:w="1335"/>
      </w:tblGrid>
      <w:tr>
        <w:tc>
          <w:tcPr>
            <w:tcW w:w="3108" w:type="dxa"/>
            <w:gridSpan w:val="2"/>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r>
              <w:rPr>
                <w:rFonts w:ascii="仿宋" w:eastAsia="仿宋" w:hint="eastAsia"/>
                <w:b/>
                <w:kern w:val="0"/>
                <w:sz w:val="22"/>
                <w:szCs w:val="22"/>
              </w:rPr>
              <w:t>功能分类科目</w:t>
            </w:r>
          </w:p>
        </w:tc>
        <w:tc>
          <w:tcPr>
            <w:tcW w:w="1336" w:type="dxa"/>
            <w:vMerge w:val="restart"/>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r>
              <w:rPr>
                <w:rFonts w:ascii="仿宋" w:eastAsia="仿宋" w:hint="eastAsia"/>
                <w:b/>
                <w:kern w:val="0"/>
                <w:sz w:val="22"/>
                <w:szCs w:val="22"/>
              </w:rPr>
              <w:t>2018年预算安排总计</w:t>
            </w:r>
          </w:p>
        </w:tc>
        <w:tc>
          <w:tcPr>
            <w:tcW w:w="6706" w:type="dxa"/>
            <w:gridSpan w:val="5"/>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r>
              <w:rPr>
                <w:rFonts w:ascii="仿宋" w:eastAsia="仿宋" w:hint="eastAsia"/>
                <w:b/>
                <w:kern w:val="0"/>
                <w:sz w:val="22"/>
                <w:szCs w:val="22"/>
              </w:rPr>
              <w:t>公共财政预算拨款</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r>
              <w:rPr>
                <w:rFonts w:ascii="仿宋" w:eastAsia="仿宋" w:hint="eastAsia"/>
                <w:b/>
                <w:kern w:val="0"/>
                <w:sz w:val="22"/>
                <w:szCs w:val="22"/>
              </w:rPr>
              <w:t>政府性基金</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r>
              <w:rPr>
                <w:rFonts w:ascii="仿宋" w:eastAsia="仿宋" w:hint="eastAsia"/>
                <w:b/>
                <w:kern w:val="0"/>
                <w:sz w:val="22"/>
                <w:szCs w:val="22"/>
              </w:rPr>
              <w:t>纳入财政专户管理的行政事业性收费安排的拨款</w:t>
            </w:r>
          </w:p>
        </w:tc>
      </w:tr>
      <w:tr>
        <w:tc>
          <w:tcPr>
            <w:tcW w:w="1081"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r>
              <w:rPr>
                <w:rFonts w:ascii="仿宋" w:eastAsia="仿宋" w:hint="eastAsia"/>
                <w:b/>
                <w:kern w:val="0"/>
                <w:sz w:val="22"/>
                <w:szCs w:val="22"/>
              </w:rPr>
              <w:t>科目编码</w:t>
            </w:r>
          </w:p>
        </w:tc>
        <w:tc>
          <w:tcPr>
            <w:tcW w:w="2027"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r>
              <w:rPr>
                <w:rFonts w:ascii="仿宋" w:eastAsia="仿宋" w:hint="eastAsia"/>
                <w:b/>
                <w:kern w:val="0"/>
                <w:sz w:val="22"/>
                <w:szCs w:val="22"/>
              </w:rPr>
              <w:t>科目名称</w:t>
            </w:r>
          </w:p>
        </w:tc>
        <w:tc>
          <w:tcPr>
            <w:tcW w:w="1336" w:type="dxa"/>
            <w:vMerge/>
            <w:tcBorders>
              <w:top w:val="single" w:sz="8" w:space="0" w:color="auto"/>
              <w:left w:val="single" w:sz="8" w:space="0" w:color="auto"/>
              <w:bottom w:val="single" w:sz="8" w:space="0" w:color="auto"/>
              <w:right w:val="single" w:sz="8" w:space="0" w:color="auto"/>
            </w:tcBorders>
            <w:vAlign w:val="center"/>
          </w:tcPr>
          <w:p/>
        </w:tc>
        <w:tc>
          <w:tcPr>
            <w:tcW w:w="1336"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r>
              <w:rPr>
                <w:rFonts w:ascii="仿宋" w:eastAsia="仿宋" w:hint="eastAsia"/>
                <w:b/>
                <w:kern w:val="0"/>
                <w:sz w:val="22"/>
                <w:szCs w:val="22"/>
              </w:rPr>
              <w:t>小计</w:t>
            </w: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r>
              <w:rPr>
                <w:rFonts w:ascii="仿宋" w:eastAsia="仿宋" w:hint="eastAsia"/>
                <w:b/>
                <w:kern w:val="0"/>
                <w:sz w:val="22"/>
                <w:szCs w:val="22"/>
              </w:rPr>
              <w:t>经费拨款</w:t>
            </w: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r>
              <w:rPr>
                <w:rFonts w:ascii="仿宋" w:eastAsia="仿宋" w:hint="eastAsia"/>
                <w:b/>
                <w:kern w:val="0"/>
                <w:sz w:val="22"/>
                <w:szCs w:val="22"/>
              </w:rPr>
              <w:t>纳入预算管理的行政性收费安排的拨款</w:t>
            </w: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r>
              <w:rPr>
                <w:rFonts w:ascii="仿宋" w:eastAsia="仿宋" w:hint="eastAsia"/>
                <w:b/>
                <w:kern w:val="0"/>
                <w:sz w:val="22"/>
                <w:szCs w:val="22"/>
              </w:rPr>
              <w:t>自治区专项转移支付</w:t>
            </w:r>
          </w:p>
        </w:tc>
        <w:tc>
          <w:tcPr>
            <w:tcW w:w="1365"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r>
              <w:rPr>
                <w:rFonts w:ascii="仿宋" w:eastAsia="仿宋" w:hint="eastAsia"/>
                <w:b/>
                <w:kern w:val="0"/>
                <w:sz w:val="22"/>
                <w:szCs w:val="22"/>
              </w:rPr>
              <w:t>自治区一般性转移支付</w:t>
            </w:r>
          </w:p>
        </w:tc>
        <w:tc>
          <w:tcPr>
            <w:tcW w:w="1335" w:type="dxa"/>
            <w:vMerge/>
            <w:tcBorders>
              <w:top w:val="single" w:sz="8" w:space="0" w:color="auto"/>
              <w:left w:val="single" w:sz="8" w:space="0" w:color="auto"/>
              <w:bottom w:val="single" w:sz="8" w:space="0" w:color="auto"/>
              <w:right w:val="single" w:sz="8" w:space="0" w:color="auto"/>
            </w:tcBorders>
            <w:vAlign w:val="center"/>
          </w:tcPr>
          <w:p/>
        </w:tc>
        <w:tc>
          <w:tcPr>
            <w:tcW w:w="1335" w:type="dxa"/>
            <w:vMerge/>
            <w:tcBorders>
              <w:top w:val="single" w:sz="8" w:space="0" w:color="auto"/>
              <w:left w:val="single" w:sz="8" w:space="0" w:color="auto"/>
              <w:bottom w:val="single" w:sz="8" w:space="0" w:color="auto"/>
              <w:right w:val="single" w:sz="8" w:space="0" w:color="auto"/>
            </w:tcBorders>
            <w:vAlign w:val="center"/>
          </w:tcPr>
          <w:p/>
        </w:tc>
      </w:tr>
      <w:tr>
        <w:trPr>
          <w:trHeight w:val="401"/>
        </w:trPr>
        <w:tc>
          <w:tcPr>
            <w:tcW w:w="108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2080505</w:t>
            </w:r>
          </w:p>
        </w:tc>
        <w:tc>
          <w:tcPr>
            <w:tcW w:w="2027"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color w:val="000000"/>
                <w:sz w:val="18"/>
                <w:szCs w:val="18"/>
              </w:rPr>
              <w:t>机关事业单位基本养老保险缴费支出</w:t>
            </w:r>
          </w:p>
        </w:tc>
        <w:tc>
          <w:tcPr>
            <w:tcW w:w="1336"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hint="eastAsia"/>
                <w:color w:val="000000"/>
                <w:sz w:val="18"/>
                <w:szCs w:val="18"/>
              </w:rPr>
              <w:t>24.52</w:t>
            </w:r>
          </w:p>
        </w:tc>
        <w:tc>
          <w:tcPr>
            <w:tcW w:w="1336"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hint="eastAsia"/>
                <w:color w:val="000000"/>
                <w:sz w:val="18"/>
                <w:szCs w:val="18"/>
              </w:rPr>
              <w:t>24.52</w:t>
            </w: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hint="eastAsia"/>
                <w:color w:val="000000"/>
                <w:sz w:val="18"/>
                <w:szCs w:val="18"/>
              </w:rPr>
              <w:t>24.52</w:t>
            </w: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p>
        </w:tc>
        <w:tc>
          <w:tcPr>
            <w:tcW w:w="1365"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b/>
                <w:kern w:val="0"/>
                <w:sz w:val="24"/>
              </w:rPr>
            </w:pPr>
          </w:p>
        </w:tc>
      </w:tr>
      <w:tr>
        <w:trPr>
          <w:trHeight w:val="449"/>
        </w:trPr>
        <w:tc>
          <w:tcPr>
            <w:tcW w:w="108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2080506</w:t>
            </w:r>
          </w:p>
        </w:tc>
        <w:tc>
          <w:tcPr>
            <w:tcW w:w="2027"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color w:val="000000"/>
                <w:sz w:val="18"/>
                <w:szCs w:val="18"/>
              </w:rPr>
              <w:t>机关事业单位职业年金缴费支出</w:t>
            </w:r>
          </w:p>
        </w:tc>
        <w:tc>
          <w:tcPr>
            <w:tcW w:w="1336"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hint="eastAsia"/>
                <w:color w:val="000000"/>
                <w:sz w:val="18"/>
                <w:szCs w:val="18"/>
              </w:rPr>
              <w:t>9.80</w:t>
            </w:r>
          </w:p>
        </w:tc>
        <w:tc>
          <w:tcPr>
            <w:tcW w:w="1336"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hint="eastAsia"/>
                <w:color w:val="000000"/>
                <w:sz w:val="18"/>
                <w:szCs w:val="18"/>
              </w:rPr>
              <w:t>9.80</w:t>
            </w: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hint="eastAsia"/>
                <w:color w:val="000000"/>
                <w:sz w:val="18"/>
                <w:szCs w:val="18"/>
              </w:rPr>
              <w:t>9.80</w:t>
            </w: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c>
          <w:tcPr>
            <w:tcW w:w="108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2101102</w:t>
            </w:r>
          </w:p>
        </w:tc>
        <w:tc>
          <w:tcPr>
            <w:tcW w:w="2027"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color w:val="000000"/>
                <w:sz w:val="18"/>
                <w:szCs w:val="18"/>
              </w:rPr>
              <w:t>事业单位医疗</w:t>
            </w:r>
          </w:p>
        </w:tc>
        <w:tc>
          <w:tcPr>
            <w:tcW w:w="1336"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hint="eastAsia"/>
                <w:color w:val="000000"/>
                <w:sz w:val="18"/>
                <w:szCs w:val="18"/>
              </w:rPr>
              <w:t>9.80</w:t>
            </w:r>
          </w:p>
        </w:tc>
        <w:tc>
          <w:tcPr>
            <w:tcW w:w="1336"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hint="eastAsia"/>
                <w:color w:val="000000"/>
                <w:sz w:val="18"/>
                <w:szCs w:val="18"/>
              </w:rPr>
              <w:t>9.80</w:t>
            </w: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hint="eastAsia"/>
                <w:color w:val="000000"/>
                <w:sz w:val="18"/>
                <w:szCs w:val="18"/>
              </w:rPr>
              <w:t>9.80</w:t>
            </w: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36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3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3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r>
      <w:tr>
        <w:tc>
          <w:tcPr>
            <w:tcW w:w="108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2150899</w:t>
            </w:r>
          </w:p>
        </w:tc>
        <w:tc>
          <w:tcPr>
            <w:tcW w:w="2027"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color w:val="000000"/>
                <w:sz w:val="18"/>
                <w:szCs w:val="18"/>
              </w:rPr>
              <w:t>其他支持中小企业发展和管理支出</w:t>
            </w:r>
          </w:p>
        </w:tc>
        <w:tc>
          <w:tcPr>
            <w:tcW w:w="1336"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hint="eastAsia"/>
                <w:color w:val="000000"/>
                <w:sz w:val="18"/>
                <w:szCs w:val="18"/>
              </w:rPr>
              <w:t>317.31</w:t>
            </w:r>
          </w:p>
        </w:tc>
        <w:tc>
          <w:tcPr>
            <w:tcW w:w="1336"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hint="eastAsia"/>
                <w:color w:val="000000"/>
                <w:sz w:val="18"/>
                <w:szCs w:val="18"/>
              </w:rPr>
              <w:t>317.31</w:t>
            </w: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Arial"/>
                <w:color w:val="000000"/>
                <w:sz w:val="18"/>
                <w:szCs w:val="18"/>
              </w:rPr>
            </w:pPr>
            <w:r>
              <w:rPr>
                <w:rFonts w:ascii="宋体" w:eastAsia="宋体" w:cs="Arial" w:hint="eastAsia"/>
                <w:color w:val="000000"/>
                <w:sz w:val="18"/>
                <w:szCs w:val="18"/>
              </w:rPr>
              <w:t>317.31</w:t>
            </w:r>
          </w:p>
        </w:tc>
        <w:tc>
          <w:tcPr>
            <w:tcW w:w="133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bl>
    <w:p>
      <w:pPr>
        <w:rPr>
          <w:rFonts w:ascii="仿宋" w:eastAsia="仿宋"/>
          <w:b/>
          <w:kern w:val="0"/>
          <w:sz w:val="32"/>
          <w:szCs w:val="32"/>
        </w:rPr>
      </w:pPr>
    </w:p>
    <w:tbl>
      <w:tblPr>
        <w:jc w:val="left"/>
        <w:tblInd w:w="93" w:type="dxa"/>
        <w:tblW w:w="13842"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716"/>
        <w:gridCol w:w="1111"/>
        <w:gridCol w:w="227"/>
        <w:gridCol w:w="228"/>
        <w:gridCol w:w="638"/>
        <w:gridCol w:w="308"/>
        <w:gridCol w:w="1003"/>
        <w:gridCol w:w="172"/>
        <w:gridCol w:w="604"/>
        <w:gridCol w:w="228"/>
        <w:gridCol w:w="228"/>
        <w:gridCol w:w="612"/>
        <w:gridCol w:w="530"/>
        <w:gridCol w:w="286"/>
        <w:gridCol w:w="375"/>
        <w:gridCol w:w="634"/>
        <w:gridCol w:w="431"/>
        <w:gridCol w:w="228"/>
        <w:gridCol w:w="1159"/>
        <w:gridCol w:w="408"/>
        <w:gridCol w:w="228"/>
        <w:gridCol w:w="228"/>
        <w:gridCol w:w="735"/>
        <w:gridCol w:w="1346"/>
        <w:gridCol w:w="110"/>
        <w:gridCol w:w="69"/>
      </w:tblGrid>
      <w:tr>
        <w:trPr>
          <w:trHeight w:val="495"/>
          <w:gridAfter w:val="1"/>
          <w:wAfter w:w="69" w:type="dxa"/>
        </w:trPr>
        <w:tc>
          <w:tcPr>
            <w:tcW w:w="6463" w:type="dxa"/>
            <w:gridSpan w:val="11"/>
            <w:tcBorders>
              <w:top w:val="nil"/>
              <w:left w:val="nil"/>
              <w:bottom w:val="nil"/>
              <w:right w:val="nil"/>
            </w:tcBorders>
          </w:tcPr>
          <w:p>
            <w:pPr>
              <w:rPr>
                <w:rFonts w:ascii="黑体" w:eastAsia="黑体"/>
                <w:kern w:val="0"/>
                <w:sz w:val="32"/>
                <w:szCs w:val="32"/>
              </w:rPr>
            </w:pPr>
          </w:p>
          <w:p>
            <w:pPr>
              <w:rPr>
                <w:rFonts w:ascii="黑体" w:eastAsia="黑体"/>
                <w:kern w:val="0"/>
                <w:sz w:val="32"/>
                <w:szCs w:val="32"/>
              </w:rPr>
            </w:pPr>
          </w:p>
          <w:p>
            <w:pPr>
              <w:rPr>
                <w:rFonts w:ascii="黑体" w:eastAsia="黑体"/>
                <w:kern w:val="0"/>
                <w:sz w:val="32"/>
                <w:szCs w:val="32"/>
              </w:rPr>
            </w:pPr>
          </w:p>
          <w:p>
            <w:pPr>
              <w:rPr>
                <w:rFonts w:ascii="黑体" w:eastAsia="黑体"/>
                <w:kern w:val="0"/>
                <w:sz w:val="32"/>
                <w:szCs w:val="32"/>
              </w:rPr>
            </w:pPr>
          </w:p>
          <w:p>
            <w:pPr>
              <w:rPr>
                <w:rFonts w:ascii="宋体" w:cs="宋体"/>
                <w:color w:val="000000"/>
                <w:kern w:val="0"/>
                <w:sz w:val="22"/>
                <w:szCs w:val="22"/>
              </w:rPr>
            </w:pPr>
            <w:r>
              <w:rPr>
                <w:rFonts w:ascii="黑体" w:eastAsia="黑体" w:hint="eastAsia"/>
                <w:kern w:val="0"/>
                <w:sz w:val="32"/>
                <w:szCs w:val="32"/>
              </w:rPr>
              <w:t>三、一般公共预算支出表</w:t>
            </w:r>
          </w:p>
        </w:tc>
        <w:tc>
          <w:tcPr>
            <w:tcW w:w="1428" w:type="dxa"/>
            <w:gridSpan w:val="3"/>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1668" w:type="dxa"/>
            <w:gridSpan w:val="4"/>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1567" w:type="dxa"/>
            <w:gridSpan w:val="2"/>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2647" w:type="dxa"/>
            <w:gridSpan w:val="5"/>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r>
      <w:tr>
        <w:trPr>
          <w:trHeight w:val="495"/>
          <w:gridAfter w:val="1"/>
          <w:wAfter w:w="69" w:type="dxa"/>
        </w:trPr>
        <w:tc>
          <w:tcPr>
            <w:tcW w:w="13773" w:type="dxa"/>
            <w:gridSpan w:val="25"/>
            <w:tcBorders>
              <w:top w:val="nil"/>
              <w:left w:val="nil"/>
              <w:bottom w:val="nil"/>
              <w:right w:val="nil"/>
            </w:tcBorders>
          </w:tcPr>
          <w:p>
            <w:pPr>
              <w:jc w:val="center"/>
              <w:rPr>
                <w:rFonts w:ascii="仿宋" w:eastAsia="仿宋"/>
                <w:b/>
                <w:kern w:val="0"/>
                <w:sz w:val="36"/>
                <w:szCs w:val="36"/>
              </w:rPr>
            </w:pPr>
            <w:r>
              <w:rPr>
                <w:rFonts w:ascii="仿宋" w:eastAsia="仿宋" w:hint="eastAsia"/>
                <w:b/>
                <w:kern w:val="0"/>
                <w:sz w:val="36"/>
                <w:szCs w:val="36"/>
              </w:rPr>
              <w:t>一般公共预算支出表</w:t>
            </w:r>
          </w:p>
        </w:tc>
      </w:tr>
      <w:tr>
        <w:trPr>
          <w:trHeight w:val="495"/>
        </w:trPr>
        <w:tc>
          <w:tcPr>
            <w:tcW w:w="3054" w:type="dxa"/>
            <w:gridSpan w:val="3"/>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866" w:type="dxa"/>
            <w:gridSpan w:val="2"/>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1483" w:type="dxa"/>
            <w:gridSpan w:val="3"/>
            <w:tcBorders>
              <w:top w:val="nil"/>
              <w:left w:val="nil"/>
              <w:bottom w:val="single" w:sz="4" w:space="0" w:color="auto"/>
              <w:right w:val="nil"/>
            </w:tcBorders>
          </w:tcPr>
          <w:p>
            <w:pPr>
              <w:widowControl/>
              <w:jc w:val="left"/>
              <w:rPr>
                <w:rFonts w:ascii="宋体" w:cs="宋体"/>
                <w:color w:val="000000"/>
                <w:kern w:val="0"/>
                <w:sz w:val="22"/>
                <w:szCs w:val="22"/>
              </w:rPr>
            </w:pPr>
          </w:p>
        </w:tc>
        <w:tc>
          <w:tcPr>
            <w:tcW w:w="1060" w:type="dxa"/>
            <w:gridSpan w:val="3"/>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1428" w:type="dxa"/>
            <w:gridSpan w:val="3"/>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2827" w:type="dxa"/>
            <w:gridSpan w:val="5"/>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864" w:type="dxa"/>
            <w:gridSpan w:val="3"/>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2260" w:type="dxa"/>
            <w:gridSpan w:val="4"/>
            <w:tcBorders>
              <w:top w:val="nil"/>
              <w:left w:val="nil"/>
              <w:bottom w:val="nil"/>
              <w:right w:val="nil"/>
            </w:tcBorders>
            <w:shd w:val="clear" w:color="auto" w:fill="auto"/>
            <w:noWrap/>
            <w:vAlign w:val="center"/>
          </w:tcPr>
          <w:p>
            <w:pPr>
              <w:rPr>
                <w:rFonts w:ascii="宋体" w:cs="宋体"/>
                <w:color w:val="000000"/>
                <w:kern w:val="0"/>
                <w:sz w:val="22"/>
                <w:szCs w:val="22"/>
              </w:rPr>
            </w:pPr>
            <w:r>
              <w:rPr>
                <w:rFonts w:ascii="仿宋" w:eastAsia="仿宋" w:hint="eastAsia"/>
                <w:kern w:val="0"/>
                <w:sz w:val="28"/>
                <w:szCs w:val="28"/>
              </w:rPr>
              <w:t>单位：万元</w:t>
            </w:r>
          </w:p>
        </w:tc>
      </w:tr>
      <w:tr>
        <w:trPr>
          <w:trHeight w:val="495"/>
          <w:gridAfter w:val="1"/>
          <w:wAfter w:w="69" w:type="dxa"/>
        </w:trPr>
        <w:tc>
          <w:tcPr>
            <w:tcW w:w="39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功能分类科目</w:t>
            </w:r>
          </w:p>
        </w:tc>
        <w:tc>
          <w:tcPr>
            <w:tcW w:w="1483" w:type="dxa"/>
            <w:gridSpan w:val="3"/>
            <w:vMerge w:val="restart"/>
            <w:tcBorders>
              <w:top w:val="single" w:sz="4" w:space="0" w:color="auto"/>
              <w:left w:val="nil"/>
              <w:right w:val="single" w:sz="4" w:space="0" w:color="auto"/>
            </w:tcBorders>
            <w:vAlign w:val="center"/>
          </w:tcPr>
          <w:p>
            <w:pPr>
              <w:jc w:val="center"/>
              <w:rPr>
                <w:rFonts w:ascii="仿宋" w:eastAsia="仿宋"/>
                <w:b/>
                <w:kern w:val="0"/>
                <w:sz w:val="22"/>
                <w:szCs w:val="22"/>
              </w:rPr>
            </w:pPr>
            <w:r>
              <w:rPr>
                <w:rFonts w:ascii="仿宋" w:eastAsia="仿宋" w:hint="eastAsia"/>
                <w:b/>
                <w:kern w:val="0"/>
                <w:sz w:val="22"/>
                <w:szCs w:val="22"/>
              </w:rPr>
              <w:t>2017年执行数</w:t>
            </w:r>
          </w:p>
        </w:tc>
        <w:tc>
          <w:tcPr>
            <w:tcW w:w="531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2018年预算数</w:t>
            </w:r>
          </w:p>
        </w:tc>
        <w:tc>
          <w:tcPr>
            <w:tcW w:w="3055" w:type="dxa"/>
            <w:gridSpan w:val="6"/>
            <w:tcBorders>
              <w:top w:val="single" w:sz="4" w:space="0" w:color="auto"/>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2018年预算数与2017年执行数</w:t>
            </w:r>
          </w:p>
        </w:tc>
      </w:tr>
      <w:tr>
        <w:trPr>
          <w:trHeight w:val="495"/>
          <w:gridAfter w:val="1"/>
          <w:wAfter w:w="69" w:type="dxa"/>
        </w:trPr>
        <w:tc>
          <w:tcPr>
            <w:tcW w:w="1716" w:type="dxa"/>
            <w:tcBorders>
              <w:top w:val="nil"/>
              <w:left w:val="single" w:sz="4" w:space="0" w:color="auto"/>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科目编码</w:t>
            </w:r>
          </w:p>
        </w:tc>
        <w:tc>
          <w:tcPr>
            <w:tcW w:w="2204"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科目名称</w:t>
            </w:r>
          </w:p>
        </w:tc>
        <w:tc>
          <w:tcPr>
            <w:tcW w:w="1483" w:type="dxa"/>
            <w:gridSpan w:val="3"/>
            <w:vMerge/>
            <w:tcBorders>
              <w:left w:val="nil"/>
              <w:bottom w:val="single" w:sz="4" w:space="0" w:color="auto"/>
              <w:right w:val="single" w:sz="4" w:space="0" w:color="auto"/>
            </w:tcBorders>
          </w:tcPr>
          <w:p/>
        </w:tc>
        <w:tc>
          <w:tcPr>
            <w:tcW w:w="1672" w:type="dxa"/>
            <w:gridSpan w:val="4"/>
            <w:tcBorders>
              <w:top w:val="nil"/>
              <w:left w:val="single" w:sz="4" w:space="0" w:color="auto"/>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合计</w:t>
            </w:r>
          </w:p>
        </w:tc>
        <w:tc>
          <w:tcPr>
            <w:tcW w:w="1825"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基本支出</w:t>
            </w:r>
          </w:p>
        </w:tc>
        <w:tc>
          <w:tcPr>
            <w:tcW w:w="1818" w:type="dxa"/>
            <w:gridSpan w:val="3"/>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项目支出</w:t>
            </w:r>
          </w:p>
        </w:tc>
        <w:tc>
          <w:tcPr>
            <w:tcW w:w="1599"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增减额</w:t>
            </w:r>
          </w:p>
        </w:tc>
        <w:tc>
          <w:tcPr>
            <w:tcW w:w="1456" w:type="dxa"/>
            <w:gridSpan w:val="2"/>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增减%</w:t>
            </w:r>
          </w:p>
        </w:tc>
      </w:tr>
      <w:tr>
        <w:trPr>
          <w:trHeight w:val="495"/>
          <w:gridAfter w:val="1"/>
          <w:wAfter w:w="69" w:type="dxa"/>
        </w:trPr>
        <w:tc>
          <w:tcPr>
            <w:tcW w:w="1716" w:type="dxa"/>
            <w:tcBorders>
              <w:top w:val="nil"/>
              <w:left w:val="single" w:sz="4" w:space="0" w:color="auto"/>
              <w:bottom w:val="single" w:sz="4" w:space="0" w:color="auto"/>
              <w:right w:val="single" w:sz="4" w:space="0" w:color="auto"/>
            </w:tcBorders>
            <w:shd w:val="clear" w:color="auto" w:fill="auto"/>
            <w:noWrap/>
            <w:vAlign w:val="center"/>
          </w:tcPr>
          <w:p>
            <w:pPr>
              <w:rPr>
                <w:rFonts w:ascii="宋体" w:cs="Arial"/>
                <w:color w:val="000000"/>
                <w:sz w:val="18"/>
                <w:szCs w:val="18"/>
              </w:rPr>
            </w:pPr>
            <w:r>
              <w:rPr>
                <w:rFonts w:cs="Arial" w:hint="eastAsia"/>
                <w:color w:val="000000"/>
                <w:sz w:val="18"/>
                <w:szCs w:val="18"/>
              </w:rPr>
              <w:t>2080505</w:t>
            </w:r>
          </w:p>
        </w:tc>
        <w:tc>
          <w:tcPr>
            <w:tcW w:w="2204" w:type="dxa"/>
            <w:gridSpan w:val="4"/>
            <w:tcBorders>
              <w:top w:val="nil"/>
              <w:left w:val="nil"/>
              <w:bottom w:val="single" w:sz="4" w:space="0" w:color="auto"/>
              <w:right w:val="single" w:sz="4" w:space="0" w:color="auto"/>
            </w:tcBorders>
            <w:shd w:val="clear" w:color="auto" w:fill="auto"/>
            <w:noWrap/>
            <w:vAlign w:val="center"/>
          </w:tcPr>
          <w:p>
            <w:pPr>
              <w:rPr>
                <w:rFonts w:ascii="宋体" w:cs="Arial"/>
                <w:color w:val="000000"/>
                <w:sz w:val="18"/>
                <w:szCs w:val="18"/>
              </w:rPr>
            </w:pPr>
            <w:r>
              <w:rPr>
                <w:rFonts w:cs="Arial" w:hint="eastAsia"/>
                <w:color w:val="000000"/>
                <w:sz w:val="18"/>
                <w:szCs w:val="18"/>
              </w:rPr>
              <w:t xml:space="preserve">    机关事业单位基本养老保险缴费支出</w:t>
            </w:r>
          </w:p>
        </w:tc>
        <w:tc>
          <w:tcPr>
            <w:tcW w:w="1483" w:type="dxa"/>
            <w:gridSpan w:val="3"/>
            <w:tcBorders>
              <w:top w:val="single" w:sz="4" w:space="0" w:color="auto"/>
              <w:left w:val="nil"/>
              <w:bottom w:val="single" w:sz="4" w:space="0" w:color="auto"/>
              <w:right w:val="single" w:sz="4" w:space="0" w:color="auto"/>
            </w:tcBorders>
          </w:tcPr>
          <w:p>
            <w:pPr>
              <w:jc w:val="center"/>
              <w:rPr>
                <w:rFonts w:ascii="仿宋" w:eastAsia="仿宋"/>
                <w:b/>
                <w:kern w:val="0"/>
                <w:sz w:val="22"/>
                <w:szCs w:val="22"/>
              </w:rPr>
            </w:pPr>
          </w:p>
        </w:tc>
        <w:tc>
          <w:tcPr>
            <w:tcW w:w="1672" w:type="dxa"/>
            <w:gridSpan w:val="4"/>
            <w:tcBorders>
              <w:top w:val="nil"/>
              <w:left w:val="single" w:sz="4" w:space="0" w:color="auto"/>
              <w:bottom w:val="single" w:sz="4" w:space="0" w:color="auto"/>
              <w:right w:val="single" w:sz="4" w:space="0" w:color="auto"/>
            </w:tcBorders>
            <w:shd w:val="clear" w:color="auto" w:fill="auto"/>
            <w:noWrap/>
            <w:vAlign w:val="center"/>
          </w:tcPr>
          <w:p>
            <w:pPr>
              <w:jc w:val="right"/>
              <w:rPr>
                <w:rFonts w:ascii="宋体" w:cs="Arial"/>
                <w:color w:val="000000"/>
                <w:sz w:val="18"/>
                <w:szCs w:val="18"/>
              </w:rPr>
            </w:pPr>
            <w:r>
              <w:rPr>
                <w:rFonts w:cs="Arial" w:hint="eastAsia"/>
                <w:color w:val="000000"/>
                <w:sz w:val="18"/>
                <w:szCs w:val="18"/>
              </w:rPr>
              <w:t>24.52</w:t>
            </w:r>
          </w:p>
        </w:tc>
        <w:tc>
          <w:tcPr>
            <w:tcW w:w="1825" w:type="dxa"/>
            <w:gridSpan w:val="4"/>
            <w:tcBorders>
              <w:top w:val="nil"/>
              <w:left w:val="nil"/>
              <w:bottom w:val="single" w:sz="4" w:space="0" w:color="auto"/>
              <w:right w:val="single" w:sz="4" w:space="0" w:color="auto"/>
            </w:tcBorders>
            <w:shd w:val="clear" w:color="auto" w:fill="auto"/>
            <w:noWrap/>
            <w:vAlign w:val="center"/>
          </w:tcPr>
          <w:p>
            <w:pPr>
              <w:jc w:val="right"/>
              <w:rPr>
                <w:rFonts w:ascii="宋体" w:cs="Arial"/>
                <w:color w:val="000000"/>
                <w:sz w:val="18"/>
                <w:szCs w:val="18"/>
              </w:rPr>
            </w:pPr>
            <w:r>
              <w:rPr>
                <w:rFonts w:cs="Arial" w:hint="eastAsia"/>
                <w:color w:val="000000"/>
                <w:sz w:val="18"/>
                <w:szCs w:val="18"/>
              </w:rPr>
              <w:t>24.52</w:t>
            </w:r>
          </w:p>
        </w:tc>
        <w:tc>
          <w:tcPr>
            <w:tcW w:w="1818" w:type="dxa"/>
            <w:gridSpan w:val="3"/>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599"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456" w:type="dxa"/>
            <w:gridSpan w:val="2"/>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r>
      <w:tr>
        <w:trPr>
          <w:trHeight w:val="495"/>
          <w:gridAfter w:val="1"/>
          <w:wAfter w:w="69" w:type="dxa"/>
        </w:trPr>
        <w:tc>
          <w:tcPr>
            <w:tcW w:w="1716" w:type="dxa"/>
            <w:tcBorders>
              <w:top w:val="nil"/>
              <w:left w:val="single" w:sz="4" w:space="0" w:color="auto"/>
              <w:bottom w:val="single" w:sz="4" w:space="0" w:color="auto"/>
              <w:right w:val="single" w:sz="4" w:space="0" w:color="auto"/>
            </w:tcBorders>
            <w:shd w:val="clear" w:color="auto" w:fill="auto"/>
            <w:noWrap/>
            <w:vAlign w:val="center"/>
          </w:tcPr>
          <w:p>
            <w:pPr>
              <w:rPr>
                <w:rFonts w:ascii="宋体" w:cs="Arial"/>
                <w:color w:val="000000"/>
                <w:sz w:val="18"/>
                <w:szCs w:val="18"/>
              </w:rPr>
            </w:pPr>
            <w:r>
              <w:rPr>
                <w:rFonts w:cs="Arial" w:hint="eastAsia"/>
                <w:color w:val="000000"/>
                <w:sz w:val="18"/>
                <w:szCs w:val="18"/>
              </w:rPr>
              <w:t>2080506</w:t>
            </w:r>
          </w:p>
        </w:tc>
        <w:tc>
          <w:tcPr>
            <w:tcW w:w="2204" w:type="dxa"/>
            <w:gridSpan w:val="4"/>
            <w:tcBorders>
              <w:top w:val="nil"/>
              <w:left w:val="nil"/>
              <w:bottom w:val="single" w:sz="4" w:space="0" w:color="auto"/>
              <w:right w:val="single" w:sz="4" w:space="0" w:color="auto"/>
            </w:tcBorders>
            <w:shd w:val="clear" w:color="auto" w:fill="auto"/>
            <w:noWrap/>
            <w:vAlign w:val="center"/>
          </w:tcPr>
          <w:p>
            <w:pPr>
              <w:rPr>
                <w:rFonts w:ascii="宋体" w:cs="Arial"/>
                <w:color w:val="000000"/>
                <w:sz w:val="18"/>
                <w:szCs w:val="18"/>
              </w:rPr>
            </w:pPr>
            <w:r>
              <w:rPr>
                <w:rFonts w:cs="Arial" w:hint="eastAsia"/>
                <w:color w:val="000000"/>
                <w:sz w:val="18"/>
                <w:szCs w:val="18"/>
              </w:rPr>
              <w:t xml:space="preserve">    机关事业单位职业年金缴费支出</w:t>
            </w:r>
          </w:p>
        </w:tc>
        <w:tc>
          <w:tcPr>
            <w:tcW w:w="1483" w:type="dxa"/>
            <w:gridSpan w:val="3"/>
            <w:tcBorders>
              <w:top w:val="single" w:sz="4" w:space="0" w:color="auto"/>
              <w:left w:val="nil"/>
              <w:bottom w:val="single" w:sz="4" w:space="0" w:color="auto"/>
              <w:right w:val="single" w:sz="4" w:space="0" w:color="auto"/>
            </w:tcBorders>
          </w:tcPr>
          <w:p>
            <w:pPr>
              <w:jc w:val="center"/>
              <w:rPr>
                <w:rFonts w:ascii="仿宋" w:eastAsia="仿宋"/>
                <w:b/>
                <w:kern w:val="0"/>
                <w:sz w:val="22"/>
                <w:szCs w:val="22"/>
              </w:rPr>
            </w:pPr>
          </w:p>
        </w:tc>
        <w:tc>
          <w:tcPr>
            <w:tcW w:w="1672" w:type="dxa"/>
            <w:gridSpan w:val="4"/>
            <w:tcBorders>
              <w:top w:val="nil"/>
              <w:left w:val="single" w:sz="4" w:space="0" w:color="auto"/>
              <w:bottom w:val="single" w:sz="4" w:space="0" w:color="auto"/>
              <w:right w:val="single" w:sz="4" w:space="0" w:color="auto"/>
            </w:tcBorders>
            <w:shd w:val="clear" w:color="auto" w:fill="auto"/>
            <w:noWrap/>
            <w:vAlign w:val="center"/>
          </w:tcPr>
          <w:p>
            <w:pPr>
              <w:jc w:val="right"/>
              <w:rPr>
                <w:rFonts w:ascii="宋体" w:cs="Arial"/>
                <w:color w:val="000000"/>
                <w:sz w:val="18"/>
                <w:szCs w:val="18"/>
              </w:rPr>
            </w:pPr>
            <w:r>
              <w:rPr>
                <w:rFonts w:cs="Arial" w:hint="eastAsia"/>
                <w:color w:val="000000"/>
                <w:sz w:val="18"/>
                <w:szCs w:val="18"/>
              </w:rPr>
              <w:t>9.80</w:t>
            </w:r>
          </w:p>
        </w:tc>
        <w:tc>
          <w:tcPr>
            <w:tcW w:w="1825" w:type="dxa"/>
            <w:gridSpan w:val="4"/>
            <w:tcBorders>
              <w:top w:val="nil"/>
              <w:left w:val="nil"/>
              <w:bottom w:val="single" w:sz="4" w:space="0" w:color="auto"/>
              <w:right w:val="single" w:sz="4" w:space="0" w:color="auto"/>
            </w:tcBorders>
            <w:shd w:val="clear" w:color="auto" w:fill="auto"/>
            <w:noWrap/>
            <w:vAlign w:val="center"/>
          </w:tcPr>
          <w:p>
            <w:pPr>
              <w:jc w:val="right"/>
              <w:rPr>
                <w:rFonts w:ascii="宋体" w:cs="Arial"/>
                <w:color w:val="000000"/>
                <w:sz w:val="18"/>
                <w:szCs w:val="18"/>
              </w:rPr>
            </w:pPr>
            <w:r>
              <w:rPr>
                <w:rFonts w:cs="Arial" w:hint="eastAsia"/>
                <w:color w:val="000000"/>
                <w:sz w:val="18"/>
                <w:szCs w:val="18"/>
              </w:rPr>
              <w:t>9.80</w:t>
            </w:r>
          </w:p>
        </w:tc>
        <w:tc>
          <w:tcPr>
            <w:tcW w:w="1818" w:type="dxa"/>
            <w:gridSpan w:val="3"/>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599"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456" w:type="dxa"/>
            <w:gridSpan w:val="2"/>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r>
      <w:tr>
        <w:trPr>
          <w:trHeight w:val="495"/>
          <w:gridAfter w:val="1"/>
          <w:wAfter w:w="69" w:type="dxa"/>
        </w:trPr>
        <w:tc>
          <w:tcPr>
            <w:tcW w:w="1716" w:type="dxa"/>
            <w:tcBorders>
              <w:top w:val="nil"/>
              <w:left w:val="single" w:sz="4" w:space="0" w:color="auto"/>
              <w:bottom w:val="single" w:sz="4" w:space="0" w:color="auto"/>
              <w:right w:val="single" w:sz="4" w:space="0" w:color="auto"/>
            </w:tcBorders>
            <w:shd w:val="clear" w:color="auto" w:fill="auto"/>
            <w:noWrap/>
            <w:vAlign w:val="center"/>
          </w:tcPr>
          <w:p>
            <w:pPr>
              <w:rPr>
                <w:rFonts w:ascii="宋体" w:cs="Arial"/>
                <w:color w:val="000000"/>
                <w:sz w:val="18"/>
                <w:szCs w:val="18"/>
              </w:rPr>
            </w:pPr>
            <w:r>
              <w:rPr>
                <w:rFonts w:cs="Arial" w:hint="eastAsia"/>
                <w:color w:val="000000"/>
                <w:sz w:val="18"/>
                <w:szCs w:val="18"/>
              </w:rPr>
              <w:t>2101102</w:t>
            </w:r>
          </w:p>
        </w:tc>
        <w:tc>
          <w:tcPr>
            <w:tcW w:w="2204" w:type="dxa"/>
            <w:gridSpan w:val="4"/>
            <w:tcBorders>
              <w:top w:val="nil"/>
              <w:left w:val="nil"/>
              <w:bottom w:val="single" w:sz="4" w:space="0" w:color="auto"/>
              <w:right w:val="single" w:sz="4" w:space="0" w:color="auto"/>
            </w:tcBorders>
            <w:shd w:val="clear" w:color="auto" w:fill="auto"/>
            <w:noWrap/>
            <w:vAlign w:val="center"/>
          </w:tcPr>
          <w:p>
            <w:pPr>
              <w:rPr>
                <w:rFonts w:ascii="宋体" w:cs="Arial"/>
                <w:color w:val="000000"/>
                <w:sz w:val="18"/>
                <w:szCs w:val="18"/>
              </w:rPr>
            </w:pPr>
            <w:r>
              <w:rPr>
                <w:rFonts w:cs="Arial" w:hint="eastAsia"/>
                <w:color w:val="000000"/>
                <w:sz w:val="18"/>
                <w:szCs w:val="18"/>
              </w:rPr>
              <w:t xml:space="preserve">    事业单位医疗</w:t>
            </w:r>
          </w:p>
        </w:tc>
        <w:tc>
          <w:tcPr>
            <w:tcW w:w="1483" w:type="dxa"/>
            <w:gridSpan w:val="3"/>
            <w:tcBorders>
              <w:top w:val="single" w:sz="4" w:space="0" w:color="auto"/>
              <w:left w:val="nil"/>
              <w:bottom w:val="single" w:sz="4" w:space="0" w:color="auto"/>
              <w:right w:val="single" w:sz="4" w:space="0" w:color="auto"/>
            </w:tcBorders>
          </w:tcPr>
          <w:p>
            <w:pPr>
              <w:jc w:val="center"/>
              <w:rPr>
                <w:rFonts w:ascii="仿宋" w:eastAsia="仿宋"/>
                <w:b/>
                <w:kern w:val="0"/>
                <w:sz w:val="22"/>
                <w:szCs w:val="22"/>
              </w:rPr>
            </w:pPr>
          </w:p>
        </w:tc>
        <w:tc>
          <w:tcPr>
            <w:tcW w:w="1672" w:type="dxa"/>
            <w:gridSpan w:val="4"/>
            <w:tcBorders>
              <w:top w:val="nil"/>
              <w:left w:val="single" w:sz="4" w:space="0" w:color="auto"/>
              <w:bottom w:val="single" w:sz="4" w:space="0" w:color="auto"/>
              <w:right w:val="single" w:sz="4" w:space="0" w:color="auto"/>
            </w:tcBorders>
            <w:shd w:val="clear" w:color="auto" w:fill="auto"/>
            <w:noWrap/>
            <w:vAlign w:val="center"/>
          </w:tcPr>
          <w:p>
            <w:pPr>
              <w:jc w:val="right"/>
              <w:rPr>
                <w:rFonts w:ascii="宋体" w:cs="Arial"/>
                <w:color w:val="000000"/>
                <w:sz w:val="18"/>
                <w:szCs w:val="18"/>
              </w:rPr>
            </w:pPr>
            <w:r>
              <w:rPr>
                <w:rFonts w:cs="Arial" w:hint="eastAsia"/>
                <w:color w:val="000000"/>
                <w:sz w:val="18"/>
                <w:szCs w:val="18"/>
              </w:rPr>
              <w:t>9.80</w:t>
            </w:r>
          </w:p>
        </w:tc>
        <w:tc>
          <w:tcPr>
            <w:tcW w:w="1825" w:type="dxa"/>
            <w:gridSpan w:val="4"/>
            <w:tcBorders>
              <w:top w:val="nil"/>
              <w:left w:val="nil"/>
              <w:bottom w:val="single" w:sz="4" w:space="0" w:color="auto"/>
              <w:right w:val="single" w:sz="4" w:space="0" w:color="auto"/>
            </w:tcBorders>
            <w:shd w:val="clear" w:color="auto" w:fill="auto"/>
            <w:noWrap/>
            <w:vAlign w:val="center"/>
          </w:tcPr>
          <w:p>
            <w:pPr>
              <w:jc w:val="right"/>
              <w:rPr>
                <w:rFonts w:ascii="宋体" w:cs="Arial"/>
                <w:color w:val="000000"/>
                <w:sz w:val="18"/>
                <w:szCs w:val="18"/>
              </w:rPr>
            </w:pPr>
            <w:r>
              <w:rPr>
                <w:rFonts w:cs="Arial" w:hint="eastAsia"/>
                <w:color w:val="000000"/>
                <w:sz w:val="18"/>
                <w:szCs w:val="18"/>
              </w:rPr>
              <w:t>9.80</w:t>
            </w:r>
          </w:p>
        </w:tc>
        <w:tc>
          <w:tcPr>
            <w:tcW w:w="1818" w:type="dxa"/>
            <w:gridSpan w:val="3"/>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599"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456" w:type="dxa"/>
            <w:gridSpan w:val="2"/>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r>
      <w:tr>
        <w:trPr>
          <w:trHeight w:val="495"/>
          <w:gridAfter w:val="1"/>
          <w:wAfter w:w="69" w:type="dxa"/>
        </w:trPr>
        <w:tc>
          <w:tcPr>
            <w:tcW w:w="1716" w:type="dxa"/>
            <w:tcBorders>
              <w:top w:val="nil"/>
              <w:left w:val="single" w:sz="4" w:space="0" w:color="auto"/>
              <w:bottom w:val="single" w:sz="4" w:space="0" w:color="auto"/>
              <w:right w:val="single" w:sz="4" w:space="0" w:color="auto"/>
            </w:tcBorders>
            <w:shd w:val="clear" w:color="auto" w:fill="auto"/>
            <w:noWrap/>
            <w:vAlign w:val="center"/>
          </w:tcPr>
          <w:p>
            <w:pPr>
              <w:rPr>
                <w:rFonts w:ascii="宋体" w:cs="Arial"/>
                <w:color w:val="000000"/>
                <w:sz w:val="18"/>
                <w:szCs w:val="18"/>
              </w:rPr>
            </w:pPr>
            <w:r>
              <w:rPr>
                <w:rFonts w:cs="Arial" w:hint="eastAsia"/>
                <w:color w:val="000000"/>
                <w:sz w:val="18"/>
                <w:szCs w:val="18"/>
              </w:rPr>
              <w:t>2150899</w:t>
            </w:r>
          </w:p>
        </w:tc>
        <w:tc>
          <w:tcPr>
            <w:tcW w:w="2204" w:type="dxa"/>
            <w:gridSpan w:val="4"/>
            <w:tcBorders>
              <w:top w:val="nil"/>
              <w:left w:val="nil"/>
              <w:bottom w:val="single" w:sz="4" w:space="0" w:color="auto"/>
              <w:right w:val="single" w:sz="4" w:space="0" w:color="auto"/>
            </w:tcBorders>
            <w:shd w:val="clear" w:color="auto" w:fill="auto"/>
            <w:noWrap/>
            <w:vAlign w:val="center"/>
          </w:tcPr>
          <w:p>
            <w:pPr>
              <w:rPr>
                <w:rFonts w:ascii="宋体" w:cs="Arial"/>
                <w:color w:val="000000"/>
                <w:sz w:val="18"/>
                <w:szCs w:val="18"/>
              </w:rPr>
            </w:pPr>
            <w:r>
              <w:rPr>
                <w:rFonts w:cs="Arial" w:hint="eastAsia"/>
                <w:color w:val="000000"/>
                <w:sz w:val="18"/>
                <w:szCs w:val="18"/>
              </w:rPr>
              <w:t xml:space="preserve">    其他支持中小企业发展和管理支出</w:t>
            </w:r>
          </w:p>
        </w:tc>
        <w:tc>
          <w:tcPr>
            <w:tcW w:w="1483" w:type="dxa"/>
            <w:gridSpan w:val="3"/>
            <w:tcBorders>
              <w:top w:val="single" w:sz="4" w:space="0" w:color="auto"/>
              <w:left w:val="nil"/>
              <w:bottom w:val="single" w:sz="4" w:space="0" w:color="auto"/>
              <w:right w:val="single" w:sz="4" w:space="0" w:color="auto"/>
            </w:tcBorders>
          </w:tcPr>
          <w:p>
            <w:pPr>
              <w:jc w:val="center"/>
              <w:rPr>
                <w:rFonts w:ascii="仿宋" w:eastAsia="仿宋"/>
                <w:b/>
                <w:kern w:val="0"/>
                <w:sz w:val="22"/>
                <w:szCs w:val="22"/>
              </w:rPr>
            </w:pPr>
          </w:p>
        </w:tc>
        <w:tc>
          <w:tcPr>
            <w:tcW w:w="1672" w:type="dxa"/>
            <w:gridSpan w:val="4"/>
            <w:tcBorders>
              <w:top w:val="nil"/>
              <w:left w:val="single" w:sz="4" w:space="0" w:color="auto"/>
              <w:bottom w:val="single" w:sz="4" w:space="0" w:color="auto"/>
              <w:right w:val="single" w:sz="4" w:space="0" w:color="auto"/>
            </w:tcBorders>
            <w:shd w:val="clear" w:color="auto" w:fill="auto"/>
            <w:noWrap/>
            <w:vAlign w:val="center"/>
          </w:tcPr>
          <w:p>
            <w:pPr>
              <w:jc w:val="right"/>
              <w:rPr>
                <w:rFonts w:ascii="宋体" w:cs="Arial"/>
                <w:color w:val="000000"/>
                <w:sz w:val="18"/>
                <w:szCs w:val="18"/>
              </w:rPr>
            </w:pPr>
            <w:r>
              <w:rPr>
                <w:rFonts w:cs="Arial" w:hint="eastAsia"/>
                <w:color w:val="000000"/>
                <w:sz w:val="18"/>
                <w:szCs w:val="18"/>
              </w:rPr>
              <w:t>317.31</w:t>
            </w:r>
          </w:p>
        </w:tc>
        <w:tc>
          <w:tcPr>
            <w:tcW w:w="1825" w:type="dxa"/>
            <w:gridSpan w:val="4"/>
            <w:tcBorders>
              <w:top w:val="nil"/>
              <w:left w:val="nil"/>
              <w:bottom w:val="single" w:sz="4" w:space="0" w:color="auto"/>
              <w:right w:val="single" w:sz="4" w:space="0" w:color="auto"/>
            </w:tcBorders>
            <w:shd w:val="clear" w:color="auto" w:fill="auto"/>
            <w:noWrap/>
            <w:vAlign w:val="center"/>
          </w:tcPr>
          <w:p>
            <w:pPr>
              <w:jc w:val="right"/>
              <w:rPr>
                <w:rFonts w:ascii="宋体" w:cs="Arial"/>
                <w:color w:val="000000"/>
                <w:sz w:val="18"/>
                <w:szCs w:val="18"/>
              </w:rPr>
            </w:pPr>
            <w:r>
              <w:rPr>
                <w:rFonts w:cs="Arial" w:hint="eastAsia"/>
                <w:color w:val="000000"/>
                <w:sz w:val="18"/>
                <w:szCs w:val="18"/>
              </w:rPr>
              <w:t>217.31</w:t>
            </w:r>
          </w:p>
        </w:tc>
        <w:tc>
          <w:tcPr>
            <w:tcW w:w="1818" w:type="dxa"/>
            <w:gridSpan w:val="3"/>
            <w:tcBorders>
              <w:top w:val="nil"/>
              <w:left w:val="nil"/>
              <w:bottom w:val="single" w:sz="4" w:space="0" w:color="auto"/>
              <w:right w:val="single" w:sz="4" w:space="0" w:color="auto"/>
            </w:tcBorders>
            <w:shd w:val="clear" w:color="auto" w:fill="auto"/>
            <w:noWrap/>
            <w:vAlign w:val="center"/>
          </w:tcPr>
          <w:p>
            <w:pPr>
              <w:jc w:val="right"/>
              <w:rPr>
                <w:rFonts w:ascii="仿宋" w:eastAsia="仿宋"/>
                <w:b/>
                <w:kern w:val="0"/>
                <w:sz w:val="22"/>
                <w:szCs w:val="22"/>
              </w:rPr>
            </w:pPr>
            <w:r>
              <w:rPr>
                <w:rFonts w:ascii="仿宋" w:eastAsia="仿宋" w:hint="eastAsia"/>
                <w:b/>
                <w:kern w:val="0"/>
                <w:sz w:val="22"/>
                <w:szCs w:val="22"/>
              </w:rPr>
              <w:t>　</w:t>
            </w:r>
            <w:r>
              <w:rPr>
                <w:rFonts w:cs="Arial" w:hint="eastAsia"/>
                <w:color w:val="000000"/>
                <w:sz w:val="18"/>
                <w:szCs w:val="18"/>
              </w:rPr>
              <w:t>100</w:t>
            </w:r>
          </w:p>
        </w:tc>
        <w:tc>
          <w:tcPr>
            <w:tcW w:w="1599"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456" w:type="dxa"/>
            <w:gridSpan w:val="2"/>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r>
      <w:tr>
        <w:trPr>
          <w:trHeight w:val="495"/>
          <w:gridAfter w:val="1"/>
          <w:wAfter w:w="69" w:type="dxa"/>
        </w:trPr>
        <w:tc>
          <w:tcPr>
            <w:tcW w:w="1716" w:type="dxa"/>
            <w:tcBorders>
              <w:top w:val="nil"/>
              <w:left w:val="single" w:sz="4" w:space="0" w:color="auto"/>
              <w:bottom w:val="single" w:sz="4" w:space="0" w:color="auto"/>
              <w:right w:val="single" w:sz="4" w:space="0" w:color="auto"/>
            </w:tcBorders>
            <w:shd w:val="clear" w:color="auto" w:fill="auto"/>
            <w:noWrap/>
            <w:vAlign w:val="center"/>
          </w:tcPr>
          <w:p>
            <w:pPr>
              <w:rPr>
                <w:rFonts w:ascii="宋体" w:cs="Arial"/>
                <w:color w:val="000000"/>
                <w:sz w:val="18"/>
                <w:szCs w:val="18"/>
              </w:rPr>
            </w:pPr>
          </w:p>
        </w:tc>
        <w:tc>
          <w:tcPr>
            <w:tcW w:w="2204" w:type="dxa"/>
            <w:gridSpan w:val="4"/>
            <w:tcBorders>
              <w:top w:val="nil"/>
              <w:left w:val="nil"/>
              <w:bottom w:val="single" w:sz="4" w:space="0" w:color="auto"/>
              <w:right w:val="single" w:sz="4" w:space="0" w:color="auto"/>
            </w:tcBorders>
            <w:shd w:val="clear" w:color="auto" w:fill="auto"/>
            <w:noWrap/>
            <w:vAlign w:val="center"/>
          </w:tcPr>
          <w:p>
            <w:pPr>
              <w:rPr>
                <w:rFonts w:ascii="宋体" w:cs="Arial"/>
                <w:color w:val="000000"/>
                <w:sz w:val="18"/>
                <w:szCs w:val="18"/>
              </w:rPr>
            </w:pPr>
          </w:p>
        </w:tc>
        <w:tc>
          <w:tcPr>
            <w:tcW w:w="1483" w:type="dxa"/>
            <w:gridSpan w:val="3"/>
            <w:tcBorders>
              <w:top w:val="single" w:sz="4" w:space="0" w:color="auto"/>
              <w:left w:val="nil"/>
              <w:bottom w:val="single" w:sz="4" w:space="0" w:color="auto"/>
              <w:right w:val="single" w:sz="4" w:space="0" w:color="auto"/>
            </w:tcBorders>
          </w:tcPr>
          <w:p>
            <w:pPr>
              <w:jc w:val="center"/>
              <w:rPr>
                <w:rFonts w:ascii="仿宋" w:eastAsia="仿宋"/>
                <w:b/>
                <w:kern w:val="0"/>
                <w:sz w:val="22"/>
                <w:szCs w:val="22"/>
              </w:rPr>
            </w:pPr>
          </w:p>
        </w:tc>
        <w:tc>
          <w:tcPr>
            <w:tcW w:w="1672" w:type="dxa"/>
            <w:gridSpan w:val="4"/>
            <w:tcBorders>
              <w:top w:val="nil"/>
              <w:left w:val="single" w:sz="4" w:space="0" w:color="auto"/>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825"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818" w:type="dxa"/>
            <w:gridSpan w:val="3"/>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599"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456" w:type="dxa"/>
            <w:gridSpan w:val="2"/>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r>
      <w:tr>
        <w:trPr>
          <w:trHeight w:val="270"/>
          <w:gridAfter w:val="2"/>
          <w:wAfter w:w="179" w:type="dxa"/>
        </w:trPr>
        <w:tc>
          <w:tcPr>
            <w:tcW w:w="13663" w:type="dxa"/>
            <w:gridSpan w:val="24"/>
            <w:tcBorders>
              <w:top w:val="nil"/>
              <w:left w:val="nil"/>
              <w:bottom w:val="nil"/>
              <w:right w:val="nil"/>
            </w:tcBorders>
            <w:shd w:val="clear" w:color="auto" w:fill="auto"/>
            <w:noWrap/>
            <w:vAlign w:val="center"/>
          </w:tcPr>
          <w:p>
            <w:pPr>
              <w:rPr>
                <w:rFonts w:ascii="黑体" w:eastAsia="黑体"/>
                <w:kern w:val="0"/>
                <w:sz w:val="32"/>
                <w:szCs w:val="32"/>
              </w:rPr>
            </w:pPr>
          </w:p>
          <w:p>
            <w:pPr>
              <w:rPr>
                <w:rFonts w:ascii="黑体" w:eastAsia="黑体"/>
                <w:kern w:val="0"/>
                <w:sz w:val="32"/>
                <w:szCs w:val="32"/>
              </w:rPr>
            </w:pPr>
          </w:p>
          <w:p>
            <w:pPr>
              <w:rPr>
                <w:rFonts w:ascii="黑体" w:eastAsia="黑体"/>
                <w:kern w:val="0"/>
                <w:sz w:val="32"/>
                <w:szCs w:val="32"/>
              </w:rPr>
            </w:pPr>
          </w:p>
          <w:p>
            <w:pPr>
              <w:rPr>
                <w:rFonts w:ascii="黑体" w:eastAsia="黑体" w:hint="eastAsia"/>
                <w:kern w:val="0"/>
                <w:sz w:val="32"/>
                <w:szCs w:val="32"/>
              </w:rPr>
            </w:pPr>
          </w:p>
          <w:p>
            <w:pPr>
              <w:rPr>
                <w:rFonts w:ascii="黑体" w:eastAsia="黑体"/>
                <w:kern w:val="0"/>
                <w:sz w:val="32"/>
                <w:szCs w:val="32"/>
              </w:rPr>
            </w:pPr>
          </w:p>
          <w:p>
            <w:pPr>
              <w:rPr>
                <w:rFonts w:ascii="黑体" w:eastAsia="黑体"/>
                <w:kern w:val="0"/>
                <w:sz w:val="32"/>
                <w:szCs w:val="32"/>
              </w:rPr>
            </w:pPr>
            <w:r>
              <w:rPr>
                <w:rFonts w:ascii="黑体" w:eastAsia="黑体" w:hint="eastAsia"/>
                <w:kern w:val="0"/>
                <w:sz w:val="32"/>
                <w:szCs w:val="32"/>
              </w:rPr>
              <w:t>四、一般公共预算财政拨款支出部门经济分类科目表</w:t>
            </w:r>
          </w:p>
        </w:tc>
      </w:tr>
      <w:tr>
        <w:trPr>
          <w:trHeight w:val="270"/>
          <w:gridAfter w:val="2"/>
          <w:wAfter w:w="179" w:type="dxa"/>
        </w:trPr>
        <w:tc>
          <w:tcPr>
            <w:tcW w:w="13663" w:type="dxa"/>
            <w:gridSpan w:val="24"/>
            <w:tcBorders>
              <w:top w:val="nil"/>
              <w:left w:val="nil"/>
              <w:bottom w:val="nil"/>
              <w:right w:val="nil"/>
            </w:tcBorders>
            <w:shd w:val="clear" w:color="auto" w:fill="auto"/>
            <w:noWrap/>
            <w:vAlign w:val="center"/>
          </w:tcPr>
          <w:p>
            <w:pPr>
              <w:jc w:val="center"/>
              <w:rPr>
                <w:rFonts w:ascii="宋体" w:cs="宋体"/>
                <w:color w:val="000000"/>
                <w:kern w:val="0"/>
                <w:sz w:val="22"/>
                <w:szCs w:val="22"/>
              </w:rPr>
            </w:pPr>
            <w:r>
              <w:rPr>
                <w:rFonts w:ascii="仿宋" w:eastAsia="仿宋" w:hint="eastAsia"/>
                <w:b/>
                <w:kern w:val="0"/>
                <w:sz w:val="32"/>
                <w:szCs w:val="32"/>
              </w:rPr>
              <w:t>一般公共预算基本支出和项目支出部门经济分类科目表</w:t>
            </w:r>
          </w:p>
        </w:tc>
      </w:tr>
      <w:tr>
        <w:trPr>
          <w:trHeight w:val="270"/>
          <w:gridAfter w:val="2"/>
          <w:wAfter w:w="179" w:type="dxa"/>
        </w:trPr>
        <w:tc>
          <w:tcPr>
            <w:tcW w:w="3282" w:type="dxa"/>
            <w:gridSpan w:val="4"/>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946" w:type="dxa"/>
            <w:gridSpan w:val="2"/>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1003" w:type="dxa"/>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1004" w:type="dxa"/>
            <w:gridSpan w:val="3"/>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2031" w:type="dxa"/>
            <w:gridSpan w:val="5"/>
            <w:tcBorders>
              <w:top w:val="nil"/>
              <w:left w:val="nil"/>
              <w:bottom w:val="nil"/>
              <w:right w:val="nil"/>
            </w:tcBorders>
            <w:shd w:val="clear" w:color="auto" w:fill="auto"/>
            <w:noWrap/>
            <w:vAlign w:val="center"/>
          </w:tcPr>
          <w:p>
            <w:pPr>
              <w:widowControl/>
              <w:jc w:val="center"/>
              <w:rPr>
                <w:rFonts w:ascii="宋体" w:cs="宋体"/>
                <w:color w:val="000000"/>
                <w:kern w:val="0"/>
                <w:sz w:val="22"/>
                <w:szCs w:val="22"/>
              </w:rPr>
            </w:pPr>
          </w:p>
        </w:tc>
        <w:tc>
          <w:tcPr>
            <w:tcW w:w="5397" w:type="dxa"/>
            <w:gridSpan w:val="9"/>
            <w:tcBorders>
              <w:top w:val="nil"/>
              <w:left w:val="nil"/>
              <w:bottom w:val="nil"/>
              <w:right w:val="nil"/>
            </w:tcBorders>
            <w:shd w:val="clear" w:color="auto" w:fill="auto"/>
            <w:noWrap/>
            <w:vAlign w:val="center"/>
          </w:tcPr>
          <w:p>
            <w:pPr>
              <w:jc w:val="center"/>
              <w:rPr>
                <w:rFonts w:ascii="宋体" w:cs="宋体"/>
                <w:color w:val="000000"/>
                <w:kern w:val="0"/>
                <w:sz w:val="22"/>
                <w:szCs w:val="22"/>
              </w:rPr>
            </w:pPr>
            <w:r>
              <w:rPr>
                <w:rFonts w:ascii="仿宋" w:eastAsia="仿宋" w:hint="eastAsia"/>
                <w:kern w:val="0"/>
                <w:sz w:val="28"/>
                <w:szCs w:val="28"/>
              </w:rPr>
              <w:t>单位：万元</w:t>
            </w:r>
          </w:p>
        </w:tc>
      </w:tr>
      <w:tr>
        <w:trPr>
          <w:trHeight w:val="435"/>
          <w:gridAfter w:val="2"/>
          <w:wAfter w:w="179" w:type="dxa"/>
        </w:trPr>
        <w:tc>
          <w:tcPr>
            <w:tcW w:w="422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部门经济分类科目</w:t>
            </w:r>
          </w:p>
        </w:tc>
        <w:tc>
          <w:tcPr>
            <w:tcW w:w="9435" w:type="dxa"/>
            <w:gridSpan w:val="18"/>
            <w:tcBorders>
              <w:top w:val="single" w:sz="4" w:space="0" w:color="auto"/>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一般公共预算财政拨款支出</w:t>
            </w:r>
          </w:p>
        </w:tc>
      </w:tr>
      <w:tr>
        <w:trPr>
          <w:trHeight w:val="435"/>
          <w:gridAfter w:val="2"/>
          <w:wAfter w:w="179" w:type="dxa"/>
        </w:trPr>
        <w:tc>
          <w:tcPr>
            <w:tcW w:w="2827"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科目编码</w:t>
            </w:r>
          </w:p>
        </w:tc>
        <w:tc>
          <w:tcPr>
            <w:tcW w:w="1401" w:type="dxa"/>
            <w:gridSpan w:val="4"/>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科目名称</w:t>
            </w:r>
          </w:p>
        </w:tc>
        <w:tc>
          <w:tcPr>
            <w:tcW w:w="177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2018年预算安排总计</w:t>
            </w:r>
          </w:p>
        </w:tc>
        <w:tc>
          <w:tcPr>
            <w:tcW w:w="5347" w:type="dxa"/>
            <w:gridSpan w:val="12"/>
            <w:tcBorders>
              <w:top w:val="single" w:sz="4" w:space="0" w:color="auto"/>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基本支出</w:t>
            </w:r>
          </w:p>
        </w:tc>
        <w:tc>
          <w:tcPr>
            <w:tcW w:w="230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项目支出</w:t>
            </w:r>
          </w:p>
        </w:tc>
      </w:tr>
      <w:tr>
        <w:trPr>
          <w:trHeight w:val="435"/>
          <w:gridAfter w:val="2"/>
          <w:wAfter w:w="179" w:type="dxa"/>
        </w:trPr>
        <w:tc>
          <w:tcPr>
            <w:tcW w:w="2827" w:type="dxa"/>
            <w:gridSpan w:val="2"/>
            <w:vMerge/>
            <w:tcBorders>
              <w:top w:val="nil"/>
              <w:left w:val="single" w:sz="4" w:space="0" w:color="auto"/>
              <w:bottom w:val="single" w:sz="4" w:space="0" w:color="auto"/>
              <w:right w:val="single" w:sz="4" w:space="0" w:color="auto"/>
            </w:tcBorders>
            <w:vAlign w:val="center"/>
          </w:tcPr>
          <w:p/>
        </w:tc>
        <w:tc>
          <w:tcPr>
            <w:tcW w:w="1401" w:type="dxa"/>
            <w:gridSpan w:val="4"/>
            <w:vMerge/>
            <w:tcBorders>
              <w:top w:val="nil"/>
              <w:left w:val="single" w:sz="4" w:space="0" w:color="auto"/>
              <w:bottom w:val="single" w:sz="4" w:space="0" w:color="auto"/>
              <w:right w:val="single" w:sz="4" w:space="0" w:color="auto"/>
            </w:tcBorders>
            <w:vAlign w:val="center"/>
          </w:tcPr>
          <w:p/>
        </w:tc>
        <w:tc>
          <w:tcPr>
            <w:tcW w:w="1779" w:type="dxa"/>
            <w:gridSpan w:val="3"/>
            <w:vMerge/>
            <w:tcBorders>
              <w:top w:val="nil"/>
              <w:left w:val="single" w:sz="4" w:space="0" w:color="auto"/>
              <w:bottom w:val="single" w:sz="4" w:space="0" w:color="auto"/>
              <w:right w:val="single" w:sz="4" w:space="0" w:color="auto"/>
            </w:tcBorders>
            <w:vAlign w:val="center"/>
          </w:tc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小计</w:t>
            </w: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人员支出</w:t>
            </w: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日常公用支出</w:t>
            </w:r>
          </w:p>
        </w:tc>
        <w:tc>
          <w:tcPr>
            <w:tcW w:w="2309" w:type="dxa"/>
            <w:gridSpan w:val="3"/>
            <w:vMerge/>
            <w:tcBorders>
              <w:top w:val="nil"/>
              <w:left w:val="single" w:sz="4" w:space="0" w:color="auto"/>
              <w:bottom w:val="single" w:sz="4" w:space="0" w:color="auto"/>
              <w:right w:val="single" w:sz="4" w:space="0" w:color="auto"/>
            </w:tcBorders>
            <w:vAlign w:val="center"/>
          </w:tc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30101</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cs="Arial" w:hint="eastAsia"/>
                <w:color w:val="000000"/>
                <w:sz w:val="18"/>
                <w:szCs w:val="18"/>
              </w:rPr>
              <w:t>基本工资</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74.96</w:t>
            </w: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30102</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cs="Arial" w:hint="eastAsia"/>
                <w:color w:val="000000"/>
                <w:sz w:val="18"/>
                <w:szCs w:val="18"/>
              </w:rPr>
              <w:t>津贴补贴</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15.25</w:t>
            </w: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30108</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cs="Arial" w:hint="eastAsia"/>
                <w:color w:val="000000"/>
                <w:sz w:val="18"/>
                <w:szCs w:val="18"/>
              </w:rPr>
              <w:t>绩效工资</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48.64</w:t>
            </w: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30108</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cs="Arial" w:hint="eastAsia"/>
                <w:color w:val="000000"/>
                <w:sz w:val="18"/>
                <w:szCs w:val="18"/>
              </w:rPr>
              <w:t>机关事业单位基本养老保险缴费缴费</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24.52</w:t>
            </w: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30109</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职业年金缴费</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9.8</w:t>
            </w: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30110</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cs="Arial" w:hint="eastAsia"/>
                <w:color w:val="000000"/>
                <w:sz w:val="18"/>
                <w:szCs w:val="18"/>
              </w:rPr>
              <w:t>职工基本医疗保险缴费</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9.8</w:t>
            </w: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30113</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住房公积金</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15.38</w:t>
            </w: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30199</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其他工资福利支出</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38.28</w:t>
            </w: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30201</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办公费</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0.5</w:t>
            </w: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30206</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电费</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0.5</w:t>
            </w: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30208</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取暖费</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12.75</w:t>
            </w: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30211</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差旅费</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1.2</w:t>
            </w: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30212</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其他社会保障缴费</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1.45</w:t>
            </w: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30217</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公务接待费</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1.2</w:t>
            </w: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30228</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工会经费</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1.2</w:t>
            </w: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30231</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公务用车运行维护费</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6</w:t>
            </w: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39999</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其他支出</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r>
              <w:rPr>
                <w:rFonts w:ascii="宋体" w:eastAsia="宋体" w:hint="eastAsia"/>
                <w:kern w:val="0"/>
                <w:sz w:val="18"/>
                <w:szCs w:val="18"/>
              </w:rPr>
              <w:t>100</w:t>
            </w: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宋体" w:eastAsia="宋体"/>
                <w:kern w:val="0"/>
                <w:sz w:val="18"/>
                <w:szCs w:val="18"/>
              </w:rPr>
            </w:pP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r>
      <w:tr>
        <w:trPr>
          <w:trHeight w:val="435"/>
          <w:gridAfter w:val="2"/>
          <w:wAfter w:w="179" w:type="dxa"/>
        </w:trPr>
        <w:tc>
          <w:tcPr>
            <w:tcW w:w="2827" w:type="dxa"/>
            <w:gridSpan w:val="2"/>
            <w:tcBorders>
              <w:top w:val="nil"/>
              <w:left w:val="single" w:sz="4" w:space="0" w:color="auto"/>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401"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779" w:type="dxa"/>
            <w:gridSpan w:val="3"/>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598"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1726"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2023" w:type="dxa"/>
            <w:gridSpan w:val="4"/>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c>
          <w:tcPr>
            <w:tcW w:w="2309" w:type="dxa"/>
            <w:gridSpan w:val="3"/>
            <w:tcBorders>
              <w:top w:val="nil"/>
              <w:left w:val="nil"/>
              <w:bottom w:val="single" w:sz="4" w:space="0" w:color="auto"/>
              <w:right w:val="single" w:sz="4" w:space="0" w:color="auto"/>
            </w:tcBorders>
            <w:shd w:val="clear" w:color="auto" w:fill="auto"/>
            <w:noWrap/>
            <w:vAlign w:val="center"/>
          </w:tcPr>
          <w:p>
            <w:pPr>
              <w:jc w:val="center"/>
              <w:rPr>
                <w:rFonts w:ascii="仿宋" w:eastAsia="仿宋"/>
                <w:b/>
                <w:kern w:val="0"/>
                <w:sz w:val="22"/>
                <w:szCs w:val="22"/>
              </w:rPr>
            </w:pPr>
            <w:r>
              <w:rPr>
                <w:rFonts w:ascii="仿宋" w:eastAsia="仿宋" w:hint="eastAsia"/>
                <w:b/>
                <w:kern w:val="0"/>
                <w:sz w:val="22"/>
                <w:szCs w:val="22"/>
              </w:rPr>
              <w:t>　</w:t>
            </w:r>
          </w:p>
        </w:tc>
      </w:tr>
      <w:tr>
        <w:trPr>
          <w:trHeight w:val="270"/>
          <w:gridAfter w:val="2"/>
          <w:wAfter w:w="179" w:type="dxa"/>
        </w:trPr>
        <w:tc>
          <w:tcPr>
            <w:tcW w:w="13663" w:type="dxa"/>
            <w:gridSpan w:val="24"/>
            <w:tcBorders>
              <w:top w:val="nil"/>
              <w:left w:val="nil"/>
              <w:bottom w:val="nil"/>
              <w:right w:val="nil"/>
            </w:tcBorders>
            <w:shd w:val="clear" w:color="auto" w:fill="auto"/>
            <w:noWrap/>
            <w:vAlign w:val="center"/>
          </w:tcPr>
          <w:p>
            <w:pPr>
              <w:rPr>
                <w:rFonts w:ascii="黑体" w:eastAsia="黑体"/>
                <w:kern w:val="0"/>
                <w:sz w:val="32"/>
                <w:szCs w:val="32"/>
              </w:rPr>
            </w:pPr>
          </w:p>
        </w:tc>
      </w:tr>
      <w:tr>
        <w:trPr>
          <w:trHeight w:val="270"/>
          <w:gridAfter w:val="2"/>
          <w:wAfter w:w="179" w:type="dxa"/>
        </w:trPr>
        <w:tc>
          <w:tcPr>
            <w:tcW w:w="13663" w:type="dxa"/>
            <w:gridSpan w:val="24"/>
            <w:tcBorders>
              <w:top w:val="nil"/>
              <w:left w:val="nil"/>
              <w:bottom w:val="nil"/>
              <w:right w:val="nil"/>
            </w:tcBorders>
            <w:shd w:val="clear" w:color="auto" w:fill="auto"/>
            <w:noWrap/>
            <w:vAlign w:val="center"/>
          </w:tcPr>
          <w:p>
            <w:pPr>
              <w:jc w:val="center"/>
              <w:rPr>
                <w:rFonts w:ascii="宋体" w:cs="宋体"/>
                <w:color w:val="000000"/>
                <w:kern w:val="0"/>
                <w:sz w:val="22"/>
                <w:szCs w:val="22"/>
              </w:rPr>
            </w:pPr>
          </w:p>
        </w:tc>
      </w:tr>
      <w:tr>
        <w:trPr>
          <w:trHeight w:val="270"/>
          <w:gridAfter w:val="2"/>
          <w:wAfter w:w="179" w:type="dxa"/>
        </w:trPr>
        <w:tc>
          <w:tcPr>
            <w:tcW w:w="3282" w:type="dxa"/>
            <w:gridSpan w:val="4"/>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p>
            <w:pPr>
              <w:widowControl/>
              <w:jc w:val="left"/>
              <w:rPr>
                <w:rFonts w:ascii="宋体" w:cs="宋体"/>
                <w:color w:val="000000"/>
                <w:kern w:val="0"/>
                <w:sz w:val="22"/>
                <w:szCs w:val="22"/>
              </w:rPr>
            </w:pPr>
          </w:p>
          <w:p>
            <w:pPr>
              <w:widowControl/>
              <w:jc w:val="left"/>
              <w:rPr>
                <w:rFonts w:ascii="宋体" w:cs="宋体"/>
                <w:color w:val="000000"/>
                <w:kern w:val="0"/>
                <w:sz w:val="22"/>
                <w:szCs w:val="22"/>
              </w:rPr>
            </w:pPr>
          </w:p>
          <w:p>
            <w:pPr>
              <w:widowControl/>
              <w:jc w:val="left"/>
              <w:rPr>
                <w:rFonts w:ascii="宋体" w:cs="宋体"/>
                <w:color w:val="000000"/>
                <w:kern w:val="0"/>
                <w:sz w:val="22"/>
                <w:szCs w:val="22"/>
              </w:rPr>
            </w:pPr>
          </w:p>
          <w:p>
            <w:pPr>
              <w:widowControl/>
              <w:jc w:val="left"/>
              <w:rPr>
                <w:rFonts w:ascii="宋体" w:cs="宋体"/>
                <w:color w:val="000000"/>
                <w:kern w:val="0"/>
                <w:sz w:val="22"/>
                <w:szCs w:val="22"/>
              </w:rPr>
            </w:pPr>
          </w:p>
        </w:tc>
        <w:tc>
          <w:tcPr>
            <w:tcW w:w="946" w:type="dxa"/>
            <w:gridSpan w:val="2"/>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1003" w:type="dxa"/>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1004" w:type="dxa"/>
            <w:gridSpan w:val="3"/>
            <w:tcBorders>
              <w:top w:val="nil"/>
              <w:left w:val="nil"/>
              <w:bottom w:val="nil"/>
              <w:right w:val="nil"/>
            </w:tcBorders>
            <w:shd w:val="clear" w:color="auto" w:fill="auto"/>
            <w:noWrap/>
            <w:vAlign w:val="center"/>
          </w:tcPr>
          <w:p>
            <w:pPr>
              <w:widowControl/>
              <w:jc w:val="left"/>
              <w:rPr>
                <w:rFonts w:ascii="宋体" w:cs="宋体"/>
                <w:color w:val="000000"/>
                <w:kern w:val="0"/>
                <w:sz w:val="22"/>
                <w:szCs w:val="22"/>
              </w:rPr>
            </w:pPr>
          </w:p>
        </w:tc>
        <w:tc>
          <w:tcPr>
            <w:tcW w:w="2031" w:type="dxa"/>
            <w:gridSpan w:val="5"/>
            <w:tcBorders>
              <w:top w:val="nil"/>
              <w:left w:val="nil"/>
              <w:bottom w:val="nil"/>
              <w:right w:val="nil"/>
            </w:tcBorders>
            <w:shd w:val="clear" w:color="auto" w:fill="auto"/>
            <w:noWrap/>
            <w:vAlign w:val="center"/>
          </w:tcPr>
          <w:p>
            <w:pPr>
              <w:widowControl/>
              <w:jc w:val="center"/>
              <w:rPr>
                <w:rFonts w:ascii="宋体" w:cs="宋体"/>
                <w:color w:val="000000"/>
                <w:kern w:val="0"/>
                <w:sz w:val="22"/>
                <w:szCs w:val="22"/>
              </w:rPr>
            </w:pPr>
          </w:p>
        </w:tc>
        <w:tc>
          <w:tcPr>
            <w:tcW w:w="5397" w:type="dxa"/>
            <w:gridSpan w:val="9"/>
            <w:tcBorders>
              <w:top w:val="nil"/>
              <w:left w:val="nil"/>
              <w:bottom w:val="nil"/>
              <w:right w:val="nil"/>
            </w:tcBorders>
            <w:shd w:val="clear" w:color="auto" w:fill="auto"/>
            <w:noWrap/>
            <w:vAlign w:val="center"/>
          </w:tcPr>
          <w:p>
            <w:pPr>
              <w:jc w:val="center"/>
              <w:rPr>
                <w:rFonts w:ascii="宋体" w:cs="宋体"/>
                <w:color w:val="000000"/>
                <w:kern w:val="0"/>
                <w:sz w:val="22"/>
                <w:szCs w:val="22"/>
              </w:rPr>
            </w:pPr>
          </w:p>
        </w:tc>
      </w:tr>
    </w:tbl>
    <w:p>
      <w:pPr>
        <w:rPr>
          <w:rFonts w:ascii="黑体" w:eastAsia="黑体"/>
          <w:kern w:val="0"/>
          <w:sz w:val="24"/>
        </w:rPr>
      </w:pPr>
      <w:r>
        <w:rPr>
          <w:rFonts w:ascii="黑体" w:eastAsia="黑体" w:hint="eastAsia"/>
          <w:kern w:val="0"/>
          <w:sz w:val="32"/>
          <w:szCs w:val="32"/>
        </w:rPr>
        <w:t>五、一般公共预算“三公”经费支出表</w:t>
      </w:r>
    </w:p>
    <w:p>
      <w:pPr>
        <w:widowControl/>
        <w:ind w:firstLineChars="200" w:firstLine="720"/>
        <w:jc w:val="center"/>
        <w:outlineLvl w:val="1"/>
        <w:rPr>
          <w:rFonts w:ascii="仿宋" w:eastAsia="仿宋"/>
          <w:b/>
          <w:kern w:val="0"/>
          <w:sz w:val="36"/>
          <w:szCs w:val="36"/>
        </w:rPr>
      </w:pPr>
      <w:r>
        <w:rPr>
          <w:rFonts w:ascii="仿宋" w:eastAsia="仿宋" w:hint="eastAsia"/>
          <w:b/>
          <w:kern w:val="0"/>
          <w:sz w:val="36"/>
          <w:szCs w:val="36"/>
        </w:rPr>
        <w:t>一般公共预算“三公”经费支出表</w:t>
      </w:r>
    </w:p>
    <w:p>
      <w:pPr>
        <w:widowControl/>
        <w:ind w:firstLine="735"/>
        <w:jc w:val="left"/>
        <w:outlineLvl w:val="1"/>
        <w:rPr>
          <w:rFonts w:ascii="仿宋" w:eastAsia="仿宋"/>
          <w:kern w:val="0"/>
          <w:sz w:val="32"/>
          <w:szCs w:val="32"/>
        </w:rPr>
      </w:pPr>
      <w:r>
        <w:rPr>
          <w:rFonts w:ascii="仿宋" w:eastAsia="仿宋" w:hint="eastAsia"/>
          <w:kern w:val="0"/>
          <w:sz w:val="32"/>
          <w:szCs w:val="32"/>
        </w:rPr>
        <w:t xml:space="preserve">                                                                   单位：万元</w:t>
      </w:r>
    </w:p>
    <w:tbl>
      <w:tblPr>
        <w:jc w:val="left"/>
        <w:tblInd w:w="91" w:type="dxa"/>
        <w:tblW w:w="14637"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816"/>
        <w:gridCol w:w="886"/>
        <w:gridCol w:w="816"/>
        <w:gridCol w:w="800"/>
        <w:gridCol w:w="816"/>
        <w:gridCol w:w="800"/>
        <w:gridCol w:w="816"/>
        <w:gridCol w:w="886"/>
        <w:gridCol w:w="816"/>
        <w:gridCol w:w="800"/>
        <w:gridCol w:w="816"/>
        <w:gridCol w:w="800"/>
        <w:gridCol w:w="800"/>
        <w:gridCol w:w="886"/>
        <w:gridCol w:w="800"/>
        <w:gridCol w:w="800"/>
        <w:gridCol w:w="800"/>
        <w:gridCol w:w="800"/>
      </w:tblGrid>
      <w:tr>
        <w:trPr>
          <w:trHeight w:val="555"/>
        </w:trPr>
        <w:tc>
          <w:tcPr>
            <w:tcW w:w="48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2017年预算数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2017年执行数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2018年预算数</w:t>
            </w:r>
          </w:p>
        </w:tc>
      </w:tr>
      <w:tr>
        <w:trPr>
          <w:trHeight w:val="1170"/>
        </w:trPr>
        <w:tc>
          <w:tcPr>
            <w:tcW w:w="80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公务接待费</w:t>
            </w:r>
          </w:p>
        </w:tc>
      </w:tr>
      <w:tr>
        <w:trPr>
          <w:trHeight w:val="1170"/>
        </w:trPr>
        <w:tc>
          <w:tcPr>
            <w:tcW w:w="800" w:type="dxa"/>
            <w:vMerge/>
            <w:tcBorders>
              <w:top w:val="nil"/>
              <w:left w:val="single" w:sz="4" w:space="0" w:color="auto"/>
              <w:bottom w:val="single" w:sz="4" w:space="0" w:color="auto"/>
              <w:right w:val="single" w:sz="4" w:space="0" w:color="auto"/>
            </w:tcBorders>
            <w:vAlign w:val="center"/>
          </w:tcPr>
          <w:p/>
        </w:tc>
        <w:tc>
          <w:tcPr>
            <w:tcW w:w="879" w:type="dxa"/>
            <w:vMerge/>
            <w:tcBorders>
              <w:top w:val="nil"/>
              <w:left w:val="single" w:sz="4" w:space="0" w:color="auto"/>
              <w:bottom w:val="single" w:sz="4" w:space="0" w:color="auto"/>
              <w:right w:val="single" w:sz="4" w:space="0" w:color="auto"/>
            </w:tcBorders>
            <w:vAlign w:val="center"/>
          </w:tcPr>
          <w:p/>
        </w:tc>
        <w:tc>
          <w:tcPr>
            <w:tcW w:w="80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tc>
        <w:tc>
          <w:tcPr>
            <w:tcW w:w="800" w:type="dxa"/>
            <w:vMerge/>
            <w:tcBorders>
              <w:top w:val="nil"/>
              <w:left w:val="single" w:sz="4" w:space="0" w:color="auto"/>
              <w:bottom w:val="single" w:sz="4" w:space="0" w:color="auto"/>
              <w:right w:val="single" w:sz="4" w:space="0" w:color="auto"/>
            </w:tcBorders>
            <w:vAlign w:val="center"/>
          </w:tcPr>
          <w:p/>
        </w:tc>
        <w:tc>
          <w:tcPr>
            <w:tcW w:w="879" w:type="dxa"/>
            <w:vMerge/>
            <w:tcBorders>
              <w:top w:val="nil"/>
              <w:left w:val="single" w:sz="4" w:space="0" w:color="auto"/>
              <w:bottom w:val="single" w:sz="4" w:space="0" w:color="auto"/>
              <w:right w:val="single" w:sz="4" w:space="0" w:color="auto"/>
            </w:tcBorders>
            <w:vAlign w:val="center"/>
          </w:tcPr>
          <w:p/>
        </w:tc>
        <w:tc>
          <w:tcPr>
            <w:tcW w:w="80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tc>
        <w:tc>
          <w:tcPr>
            <w:tcW w:w="800" w:type="dxa"/>
            <w:vMerge/>
            <w:tcBorders>
              <w:top w:val="nil"/>
              <w:left w:val="single" w:sz="4" w:space="0" w:color="auto"/>
              <w:bottom w:val="single" w:sz="4" w:space="0" w:color="auto"/>
              <w:right w:val="single" w:sz="4" w:space="0" w:color="auto"/>
            </w:tcBorders>
            <w:vAlign w:val="center"/>
          </w:tcPr>
          <w:p/>
        </w:tc>
        <w:tc>
          <w:tcPr>
            <w:tcW w:w="879" w:type="dxa"/>
            <w:vMerge/>
            <w:tcBorders>
              <w:top w:val="nil"/>
              <w:left w:val="single" w:sz="4" w:space="0" w:color="auto"/>
              <w:bottom w:val="single" w:sz="4" w:space="0" w:color="auto"/>
              <w:right w:val="single" w:sz="4" w:space="0" w:color="auto"/>
            </w:tcBorders>
            <w:vAlign w:val="center"/>
          </w:tcPr>
          <w:p/>
        </w:tc>
        <w:tc>
          <w:tcPr>
            <w:tcW w:w="80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cs="宋体"/>
                <w:b/>
                <w:bCs/>
                <w:kern w:val="0"/>
                <w:sz w:val="22"/>
                <w:szCs w:val="22"/>
              </w:rPr>
            </w:pPr>
            <w:r>
              <w:rPr>
                <w:rFonts w:ascii="仿宋" w:eastAsia="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tc>
      </w:tr>
      <w:tr>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14.09</w:t>
            </w:r>
          </w:p>
        </w:tc>
        <w:tc>
          <w:tcPr>
            <w:tcW w:w="879"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12.86</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12.86</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1.23</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14.09</w:t>
            </w:r>
          </w:p>
        </w:tc>
        <w:tc>
          <w:tcPr>
            <w:tcW w:w="879"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12.86</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12.86</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1.23</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7.2</w:t>
            </w:r>
          </w:p>
        </w:tc>
        <w:tc>
          <w:tcPr>
            <w:tcW w:w="879"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6</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6</w:t>
            </w:r>
          </w:p>
        </w:tc>
        <w:tc>
          <w:tcPr>
            <w:tcW w:w="800"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kern w:val="0"/>
                <w:sz w:val="24"/>
              </w:rPr>
            </w:pPr>
            <w:r>
              <w:rPr>
                <w:rFonts w:ascii="仿宋" w:eastAsia="仿宋" w:cs="宋体" w:hint="eastAsia"/>
                <w:kern w:val="0"/>
                <w:sz w:val="24"/>
              </w:rPr>
              <w:t>1.2</w:t>
            </w:r>
          </w:p>
        </w:tc>
      </w:tr>
      <w:tr>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r>
      <w:tr>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r>
      <w:tr>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r>
      <w:tr>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r>
      <w:tr>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p>
        </w:tc>
      </w:tr>
      <w:tr>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79"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c>
          <w:tcPr>
            <w:tcW w:w="800"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kern w:val="0"/>
                <w:sz w:val="24"/>
              </w:rPr>
            </w:pPr>
            <w:r>
              <w:rPr>
                <w:rFonts w:ascii="仿宋" w:eastAsia="仿宋" w:cs="宋体" w:hint="eastAsia"/>
                <w:kern w:val="0"/>
                <w:sz w:val="24"/>
              </w:rPr>
              <w:t>　</w:t>
            </w:r>
          </w:p>
        </w:tc>
      </w:tr>
    </w:tbl>
    <w:p>
      <w:pPr>
        <w:rPr>
          <w:rFonts w:ascii="黑体" w:eastAsia="黑体"/>
          <w:kern w:val="0"/>
          <w:sz w:val="24"/>
        </w:rPr>
      </w:pPr>
      <w:r>
        <w:rPr>
          <w:rFonts w:ascii="黑体" w:eastAsia="黑体" w:hint="eastAsia"/>
          <w:kern w:val="0"/>
          <w:sz w:val="32"/>
          <w:szCs w:val="32"/>
        </w:rPr>
        <w:t>六、政府性基金预算支出明细表</w:t>
      </w:r>
    </w:p>
    <w:p>
      <w:pPr>
        <w:jc w:val="center"/>
        <w:rPr>
          <w:rFonts w:ascii="仿宋" w:eastAsia="仿宋"/>
          <w:kern w:val="0"/>
          <w:sz w:val="24"/>
        </w:rPr>
      </w:pPr>
      <w:r>
        <w:rPr>
          <w:rFonts w:ascii="仿宋" w:eastAsia="仿宋" w:hint="eastAsia"/>
          <w:b/>
          <w:kern w:val="0"/>
          <w:sz w:val="36"/>
          <w:szCs w:val="36"/>
        </w:rPr>
        <w:t>政府性基金预算支出明细表</w:t>
      </w:r>
    </w:p>
    <w:p>
      <w:pPr>
        <w:rPr>
          <w:rFonts w:ascii="仿宋" w:eastAsia="仿宋"/>
          <w:kern w:val="0"/>
          <w:sz w:val="28"/>
          <w:szCs w:val="28"/>
        </w:rPr>
      </w:pPr>
      <w:r>
        <w:rPr>
          <w:rFonts w:ascii="仿宋" w:eastAsia="仿宋" w:hint="eastAsia"/>
          <w:b/>
          <w:kern w:val="0"/>
          <w:sz w:val="36"/>
          <w:szCs w:val="36"/>
        </w:rPr>
        <w:t xml:space="preserve">                                      </w:t>
      </w:r>
      <w:r>
        <w:rPr>
          <w:rFonts w:ascii="仿宋" w:eastAsia="仿宋" w:hint="eastAsia"/>
          <w:b/>
          <w:kern w:val="0"/>
          <w:sz w:val="28"/>
          <w:szCs w:val="28"/>
        </w:rPr>
        <w:t xml:space="preserve"> </w:t>
      </w:r>
      <w:r>
        <w:rPr>
          <w:rFonts w:ascii="仿宋" w:eastAsia="仿宋" w:hint="eastAsia"/>
          <w:kern w:val="0"/>
          <w:sz w:val="28"/>
          <w:szCs w:val="28"/>
        </w:rPr>
        <w:t>单位：万元</w:t>
      </w:r>
    </w:p>
    <w:tbl>
      <w:tblPr>
        <w:jc w:val="left"/>
        <w:tblInd w:w="-832" w:type="dxa"/>
        <w:tblW w:w="15157"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003"/>
        <w:gridCol w:w="1134"/>
        <w:gridCol w:w="1134"/>
        <w:gridCol w:w="992"/>
        <w:gridCol w:w="992"/>
        <w:gridCol w:w="992"/>
        <w:gridCol w:w="993"/>
        <w:gridCol w:w="992"/>
        <w:gridCol w:w="992"/>
        <w:gridCol w:w="992"/>
        <w:gridCol w:w="993"/>
        <w:gridCol w:w="992"/>
        <w:gridCol w:w="992"/>
        <w:gridCol w:w="982"/>
        <w:gridCol w:w="982"/>
      </w:tblGrid>
      <w:tr>
        <w:trPr>
          <w:trHeight w:val="450"/>
        </w:trPr>
        <w:tc>
          <w:tcPr>
            <w:tcW w:w="2137" w:type="dxa"/>
            <w:gridSpan w:val="2"/>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2"/>
                <w:szCs w:val="22"/>
              </w:rPr>
              <w:t>功能分类科目</w:t>
            </w:r>
          </w:p>
        </w:tc>
        <w:tc>
          <w:tcPr>
            <w:tcW w:w="1134" w:type="dxa"/>
            <w:vMerge w:val="restart"/>
            <w:tcBorders>
              <w:top w:val="single" w:sz="8" w:space="0" w:color="000000"/>
              <w:left w:val="single" w:sz="8" w:space="0" w:color="000000"/>
              <w:bottom w:val="single" w:sz="8" w:space="0" w:color="000000"/>
              <w:right w:val="single" w:sz="4" w:space="0" w:color="auto"/>
            </w:tcBorders>
            <w:vAlign w:val="center"/>
          </w:tcPr>
          <w:p>
            <w:pPr>
              <w:jc w:val="center"/>
              <w:rPr>
                <w:rFonts w:ascii="仿宋" w:eastAsia="仿宋"/>
                <w:kern w:val="0"/>
                <w:sz w:val="24"/>
              </w:rPr>
            </w:pPr>
            <w:r>
              <w:rPr>
                <w:rFonts w:ascii="仿宋" w:eastAsia="仿宋" w:hint="eastAsia"/>
                <w:b/>
                <w:kern w:val="0"/>
                <w:sz w:val="22"/>
                <w:szCs w:val="22"/>
              </w:rPr>
              <w:t>2018年预算安排总计</w:t>
            </w:r>
          </w:p>
        </w:tc>
        <w:tc>
          <w:tcPr>
            <w:tcW w:w="10904" w:type="dxa"/>
            <w:gridSpan w:val="11"/>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b/>
                <w:kern w:val="0"/>
                <w:sz w:val="22"/>
                <w:szCs w:val="22"/>
              </w:rPr>
            </w:pPr>
            <w:r>
              <w:rPr>
                <w:rFonts w:ascii="仿宋" w:eastAsia="仿宋" w:hint="eastAsia"/>
                <w:b/>
                <w:kern w:val="0"/>
                <w:sz w:val="22"/>
                <w:szCs w:val="22"/>
              </w:rPr>
              <w:t>基本支出</w:t>
            </w:r>
          </w:p>
        </w:tc>
        <w:tc>
          <w:tcPr>
            <w:tcW w:w="982" w:type="dxa"/>
            <w:vMerge w:val="restart"/>
            <w:tcBorders>
              <w:top w:val="single" w:sz="8" w:space="0" w:color="000000"/>
              <w:left w:val="single" w:sz="4" w:space="0" w:color="auto"/>
              <w:right w:val="single" w:sz="4" w:space="0" w:color="auto"/>
            </w:tcBorders>
            <w:vAlign w:val="center"/>
          </w:tcPr>
          <w:p>
            <w:pPr>
              <w:jc w:val="center"/>
              <w:rPr>
                <w:rFonts w:ascii="仿宋" w:eastAsia="仿宋"/>
                <w:b/>
                <w:kern w:val="0"/>
                <w:sz w:val="22"/>
                <w:szCs w:val="22"/>
              </w:rPr>
            </w:pPr>
            <w:r>
              <w:rPr>
                <w:rFonts w:ascii="仿宋" w:eastAsia="仿宋" w:hint="eastAsia"/>
                <w:b/>
                <w:kern w:val="0"/>
                <w:sz w:val="22"/>
                <w:szCs w:val="22"/>
              </w:rPr>
              <w:t>项目支出</w:t>
            </w:r>
          </w:p>
        </w:tc>
      </w:tr>
      <w:tr>
        <w:tc>
          <w:tcPr>
            <w:tcW w:w="100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b/>
                <w:kern w:val="0"/>
                <w:sz w:val="22"/>
                <w:szCs w:val="22"/>
              </w:rPr>
              <w:t>科目编码</w:t>
            </w:r>
          </w:p>
        </w:tc>
        <w:tc>
          <w:tcPr>
            <w:tcW w:w="1134"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2"/>
                <w:szCs w:val="22"/>
              </w:rPr>
              <w:t>科目名称</w:t>
            </w:r>
          </w:p>
        </w:tc>
        <w:tc>
          <w:tcPr>
            <w:tcW w:w="1134" w:type="dxa"/>
            <w:vMerge/>
            <w:tcBorders>
              <w:top w:val="single" w:sz="8" w:space="0" w:color="000000"/>
              <w:left w:val="single" w:sz="8" w:space="0" w:color="000000"/>
              <w:bottom w:val="single" w:sz="8" w:space="0" w:color="000000"/>
              <w:right w:val="single" w:sz="8" w:space="0" w:color="000000"/>
            </w:tcBorders>
            <w:vAlign w:val="center"/>
          </w:tcPr>
          <w:p/>
        </w:tc>
        <w:tc>
          <w:tcPr>
            <w:tcW w:w="992" w:type="dxa"/>
            <w:tcBorders>
              <w:top w:val="single" w:sz="4"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2"/>
                <w:szCs w:val="22"/>
              </w:rPr>
              <w:t>小计</w:t>
            </w:r>
          </w:p>
        </w:tc>
        <w:tc>
          <w:tcPr>
            <w:tcW w:w="992" w:type="dxa"/>
            <w:tcBorders>
              <w:top w:val="single" w:sz="4"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2"/>
                <w:szCs w:val="22"/>
              </w:rPr>
              <w:t>工资福利支出</w:t>
            </w:r>
          </w:p>
        </w:tc>
        <w:tc>
          <w:tcPr>
            <w:tcW w:w="992" w:type="dxa"/>
            <w:tcBorders>
              <w:top w:val="single" w:sz="4"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2"/>
                <w:szCs w:val="22"/>
              </w:rPr>
              <w:t>商品和服务支出</w:t>
            </w:r>
          </w:p>
        </w:tc>
        <w:tc>
          <w:tcPr>
            <w:tcW w:w="993" w:type="dxa"/>
            <w:tcBorders>
              <w:top w:val="single" w:sz="4"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2"/>
                <w:szCs w:val="22"/>
              </w:rPr>
              <w:t>对个人和家庭的补助</w:t>
            </w:r>
          </w:p>
        </w:tc>
        <w:tc>
          <w:tcPr>
            <w:tcW w:w="992" w:type="dxa"/>
            <w:tcBorders>
              <w:top w:val="single" w:sz="4"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2"/>
                <w:szCs w:val="22"/>
              </w:rPr>
              <w:t>债务利息及费用支出</w:t>
            </w:r>
          </w:p>
        </w:tc>
        <w:tc>
          <w:tcPr>
            <w:tcW w:w="992" w:type="dxa"/>
            <w:tcBorders>
              <w:top w:val="single" w:sz="4"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2"/>
                <w:szCs w:val="22"/>
              </w:rPr>
              <w:t>资本性支出（基本建设）</w:t>
            </w:r>
          </w:p>
        </w:tc>
        <w:tc>
          <w:tcPr>
            <w:tcW w:w="992" w:type="dxa"/>
            <w:tcBorders>
              <w:top w:val="single" w:sz="4"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2"/>
                <w:szCs w:val="22"/>
              </w:rPr>
              <w:t>资本性支出</w:t>
            </w:r>
          </w:p>
        </w:tc>
        <w:tc>
          <w:tcPr>
            <w:tcW w:w="993" w:type="dxa"/>
            <w:tcBorders>
              <w:top w:val="single" w:sz="4"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2"/>
                <w:szCs w:val="22"/>
              </w:rPr>
              <w:t>对企业补助（基本建设）</w:t>
            </w:r>
          </w:p>
        </w:tc>
        <w:tc>
          <w:tcPr>
            <w:tcW w:w="992"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2"/>
                <w:szCs w:val="22"/>
              </w:rPr>
            </w:pPr>
            <w:r>
              <w:rPr>
                <w:rFonts w:ascii="仿宋" w:eastAsia="仿宋" w:hint="eastAsia"/>
                <w:b/>
                <w:kern w:val="0"/>
                <w:sz w:val="22"/>
                <w:szCs w:val="22"/>
              </w:rPr>
              <w:t>对企业补助</w:t>
            </w:r>
          </w:p>
        </w:tc>
        <w:tc>
          <w:tcPr>
            <w:tcW w:w="992"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2"/>
                <w:szCs w:val="22"/>
              </w:rPr>
            </w:pPr>
            <w:r>
              <w:rPr>
                <w:rFonts w:ascii="仿宋" w:eastAsia="仿宋" w:hint="eastAsia"/>
                <w:b/>
                <w:kern w:val="0"/>
                <w:sz w:val="22"/>
                <w:szCs w:val="22"/>
              </w:rPr>
              <w:t>对社会保障基金补助</w:t>
            </w:r>
          </w:p>
        </w:tc>
        <w:tc>
          <w:tcPr>
            <w:tcW w:w="982" w:type="dxa"/>
            <w:tcBorders>
              <w:top w:val="single" w:sz="8" w:space="0" w:color="000000"/>
              <w:left w:val="single" w:sz="8" w:space="0" w:color="000000"/>
              <w:bottom w:val="single" w:sz="8" w:space="0" w:color="000000"/>
              <w:right w:val="single" w:sz="4" w:space="0" w:color="auto"/>
            </w:tcBorders>
            <w:vAlign w:val="center"/>
          </w:tcPr>
          <w:p>
            <w:pPr>
              <w:jc w:val="center"/>
              <w:rPr>
                <w:rFonts w:ascii="仿宋" w:eastAsia="仿宋"/>
                <w:b/>
                <w:kern w:val="0"/>
                <w:sz w:val="22"/>
                <w:szCs w:val="22"/>
              </w:rPr>
            </w:pPr>
            <w:r>
              <w:rPr>
                <w:rFonts w:ascii="仿宋" w:eastAsia="仿宋" w:hint="eastAsia"/>
                <w:b/>
                <w:kern w:val="0"/>
                <w:sz w:val="22"/>
                <w:szCs w:val="22"/>
              </w:rPr>
              <w:t>其他支出</w:t>
            </w:r>
          </w:p>
        </w:tc>
        <w:tc>
          <w:tcPr>
            <w:tcW w:w="982" w:type="dxa"/>
            <w:vMerge/>
            <w:tcBorders>
              <w:left w:val="single" w:sz="4" w:space="0" w:color="auto"/>
              <w:bottom w:val="single" w:sz="8" w:space="0" w:color="000000"/>
              <w:right w:val="single" w:sz="4" w:space="0" w:color="auto"/>
            </w:tcBorders>
          </w:tcPr>
          <w:p/>
        </w:tc>
      </w:tr>
      <w:tr>
        <w:trPr>
          <w:trHeight w:val="564"/>
        </w:trPr>
        <w:tc>
          <w:tcPr>
            <w:tcW w:w="100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134"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1134"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993"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993"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992" w:type="dxa"/>
            <w:tcBorders>
              <w:top w:val="single" w:sz="8" w:space="0" w:color="auto"/>
              <w:left w:val="single" w:sz="8" w:space="0" w:color="auto"/>
              <w:bottom w:val="single" w:sz="8" w:space="0" w:color="auto"/>
              <w:right w:val="single" w:sz="8" w:space="0" w:color="auto"/>
            </w:tcBorders>
          </w:tcPr>
          <w:p>
            <w:pPr>
              <w:jc w:val="center"/>
              <w:rPr>
                <w:rFonts w:ascii="仿宋" w:eastAsia="仿宋"/>
                <w:kern w:val="0"/>
                <w:sz w:val="24"/>
              </w:rPr>
            </w:pPr>
          </w:p>
        </w:tc>
        <w:tc>
          <w:tcPr>
            <w:tcW w:w="992" w:type="dxa"/>
            <w:tcBorders>
              <w:top w:val="single" w:sz="8" w:space="0" w:color="auto"/>
              <w:left w:val="single" w:sz="8" w:space="0" w:color="auto"/>
              <w:bottom w:val="single" w:sz="8" w:space="0" w:color="auto"/>
              <w:right w:val="single" w:sz="8" w:space="0" w:color="auto"/>
            </w:tcBorders>
          </w:tcPr>
          <w:p>
            <w:pPr>
              <w:jc w:val="center"/>
              <w:rPr>
                <w:rFonts w:ascii="仿宋" w:eastAsia="仿宋"/>
                <w:kern w:val="0"/>
                <w:sz w:val="24"/>
              </w:rPr>
            </w:pPr>
          </w:p>
        </w:tc>
        <w:tc>
          <w:tcPr>
            <w:tcW w:w="982" w:type="dxa"/>
            <w:tcBorders>
              <w:top w:val="single" w:sz="8" w:space="0" w:color="auto"/>
              <w:left w:val="single" w:sz="8" w:space="0" w:color="auto"/>
              <w:bottom w:val="single" w:sz="8" w:space="0" w:color="auto"/>
              <w:right w:val="single" w:sz="8" w:space="0" w:color="auto"/>
            </w:tcBorders>
          </w:tcPr>
          <w:p>
            <w:pPr>
              <w:jc w:val="center"/>
              <w:rPr>
                <w:rFonts w:ascii="仿宋" w:eastAsia="仿宋"/>
                <w:kern w:val="0"/>
                <w:sz w:val="24"/>
              </w:rPr>
            </w:pPr>
          </w:p>
        </w:tc>
        <w:tc>
          <w:tcPr>
            <w:tcW w:w="982" w:type="dxa"/>
            <w:tcBorders>
              <w:top w:val="single" w:sz="8" w:space="0" w:color="auto"/>
              <w:left w:val="single" w:sz="8" w:space="0" w:color="auto"/>
              <w:bottom w:val="single" w:sz="8" w:space="0" w:color="auto"/>
              <w:right w:val="single" w:sz="8" w:space="0" w:color="auto"/>
            </w:tcBorders>
          </w:tcPr>
          <w:p>
            <w:pPr>
              <w:jc w:val="center"/>
              <w:rPr>
                <w:rFonts w:ascii="仿宋" w:eastAsia="仿宋"/>
                <w:kern w:val="0"/>
                <w:sz w:val="24"/>
              </w:rPr>
            </w:pPr>
          </w:p>
        </w:tc>
      </w:tr>
      <w:tr>
        <w:trPr>
          <w:trHeight w:val="466"/>
        </w:trPr>
        <w:tc>
          <w:tcPr>
            <w:tcW w:w="100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r>
      <w:tr>
        <w:trPr>
          <w:trHeight w:val="430"/>
        </w:trPr>
        <w:tc>
          <w:tcPr>
            <w:tcW w:w="100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r>
      <w:tr>
        <w:trPr>
          <w:trHeight w:val="451"/>
        </w:trPr>
        <w:tc>
          <w:tcPr>
            <w:tcW w:w="100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r>
      <w:tr>
        <w:trPr>
          <w:trHeight w:val="457"/>
        </w:trPr>
        <w:tc>
          <w:tcPr>
            <w:tcW w:w="100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r>
      <w:tr>
        <w:trPr>
          <w:trHeight w:val="441"/>
        </w:trPr>
        <w:tc>
          <w:tcPr>
            <w:tcW w:w="100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0"/>
                <w:szCs w:val="20"/>
              </w:rPr>
              <w:t>　</w:t>
            </w: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r>
      <w:tr>
        <w:trPr>
          <w:trHeight w:val="441"/>
        </w:trPr>
        <w:tc>
          <w:tcPr>
            <w:tcW w:w="100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r>
      <w:tr>
        <w:trPr>
          <w:trHeight w:val="441"/>
        </w:trPr>
        <w:tc>
          <w:tcPr>
            <w:tcW w:w="100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r>
      <w:tr>
        <w:trPr>
          <w:trHeight w:val="441"/>
        </w:trPr>
        <w:tc>
          <w:tcPr>
            <w:tcW w:w="100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pPr>
              <w:rPr>
                <w:rFonts w:ascii="仿宋" w:eastAsia="仿宋"/>
                <w:kern w:val="0"/>
                <w:sz w:val="20"/>
                <w:szCs w:val="20"/>
              </w:rPr>
            </w:pPr>
          </w:p>
        </w:tc>
      </w:tr>
    </w:tbl>
    <w:p>
      <w:pPr>
        <w:rPr>
          <w:rFonts w:ascii="仿宋" w:eastAsia="仿宋"/>
          <w:b/>
          <w:kern w:val="0"/>
          <w:sz w:val="32"/>
          <w:szCs w:val="32"/>
        </w:rPr>
      </w:pPr>
    </w:p>
    <w:p>
      <w:pPr>
        <w:rPr>
          <w:rFonts w:ascii="仿宋" w:eastAsia="仿宋"/>
          <w:kern w:val="0"/>
          <w:sz w:val="32"/>
          <w:szCs w:val="32"/>
        </w:rPr>
      </w:pPr>
      <w:r>
        <w:rPr>
          <w:rFonts w:ascii="仿宋" w:eastAsia="仿宋" w:hint="eastAsia"/>
          <w:kern w:val="0"/>
          <w:sz w:val="32"/>
          <w:szCs w:val="32"/>
        </w:rPr>
        <w:t>注：基本支出预算经济分类科目各单位根据本单位实际据实填写。</w:t>
      </w:r>
    </w:p>
    <w:p>
      <w:pPr>
        <w:rPr>
          <w:rFonts w:ascii="黑体" w:eastAsia="黑体"/>
          <w:kern w:val="0"/>
          <w:sz w:val="24"/>
        </w:rPr>
      </w:pPr>
      <w:r>
        <w:rPr>
          <w:rFonts w:ascii="黑体" w:eastAsia="黑体" w:hint="eastAsia"/>
          <w:kern w:val="0"/>
          <w:sz w:val="32"/>
          <w:szCs w:val="32"/>
        </w:rPr>
        <w:t>七、部门收支预算总表</w:t>
      </w:r>
    </w:p>
    <w:p>
      <w:pPr>
        <w:jc w:val="center"/>
        <w:rPr>
          <w:rFonts w:ascii="仿宋" w:eastAsia="仿宋"/>
          <w:kern w:val="0"/>
          <w:sz w:val="24"/>
        </w:rPr>
      </w:pPr>
      <w:r>
        <w:rPr>
          <w:rFonts w:ascii="仿宋" w:eastAsia="仿宋" w:hint="eastAsia"/>
          <w:b/>
          <w:kern w:val="0"/>
          <w:sz w:val="36"/>
          <w:szCs w:val="36"/>
        </w:rPr>
        <w:t>部门收支预算总表</w:t>
      </w:r>
    </w:p>
    <w:p>
      <w:pPr>
        <w:rPr>
          <w:rFonts w:ascii="仿宋" w:eastAsia="仿宋"/>
          <w:kern w:val="0"/>
          <w:sz w:val="28"/>
          <w:szCs w:val="28"/>
        </w:rPr>
      </w:pPr>
      <w:r>
        <w:rPr>
          <w:rFonts w:ascii="仿宋" w:eastAsia="仿宋" w:hint="eastAsia"/>
          <w:kern w:val="0"/>
          <w:sz w:val="32"/>
          <w:szCs w:val="32"/>
        </w:rPr>
        <w:t xml:space="preserve">                                     </w:t>
      </w:r>
      <w:r>
        <w:rPr>
          <w:rFonts w:ascii="仿宋" w:eastAsia="仿宋" w:hint="eastAsia"/>
          <w:kern w:val="0"/>
          <w:sz w:val="28"/>
          <w:szCs w:val="28"/>
        </w:rPr>
        <w:t xml:space="preserve">   单位：万元</w:t>
      </w:r>
    </w:p>
    <w:tbl>
      <w:tblPr>
        <w:jc w:val="left"/>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852"/>
        <w:gridCol w:w="1364"/>
        <w:gridCol w:w="3852"/>
        <w:gridCol w:w="1364"/>
        <w:gridCol w:w="1364"/>
        <w:gridCol w:w="1364"/>
      </w:tblGrid>
      <w:tr>
        <w:trPr>
          <w:trHeight w:val="450"/>
        </w:trPr>
        <w:tc>
          <w:tcPr>
            <w:tcW w:w="5216" w:type="dxa"/>
            <w:gridSpan w:val="2"/>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int="eastAsia"/>
                <w:b/>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int="eastAsia"/>
                <w:b/>
                <w:color w:val="000000"/>
                <w:kern w:val="0"/>
                <w:sz w:val="22"/>
                <w:szCs w:val="22"/>
              </w:rPr>
              <w:t>出</w:t>
            </w:r>
          </w:p>
        </w:tc>
      </w:tr>
      <w:tr>
        <w:tc>
          <w:tcPr>
            <w:tcW w:w="3852" w:type="dxa"/>
            <w:vMerge w:val="restart"/>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项</w:t>
            </w:r>
            <w:r>
              <w:rPr>
                <w:rFonts w:ascii="宋体" w:eastAsia="仿宋" w:hAnsi="宋体" w:hint="eastAsia"/>
                <w:b/>
                <w:color w:val="000000"/>
                <w:kern w:val="0"/>
                <w:sz w:val="22"/>
                <w:szCs w:val="22"/>
              </w:rPr>
              <w:t>   </w:t>
            </w:r>
            <w:r>
              <w:rPr>
                <w:rFonts w:ascii="仿宋" w:eastAsia="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预算数</w:t>
            </w:r>
          </w:p>
        </w:tc>
      </w:tr>
      <w:tr>
        <w:tc>
          <w:tcPr>
            <w:tcW w:w="3852" w:type="dxa"/>
            <w:vMerge/>
            <w:tcBorders>
              <w:top w:val="single" w:sz="8" w:space="0" w:color="000000"/>
              <w:left w:val="single" w:sz="8" w:space="0" w:color="000000"/>
              <w:bottom w:val="single" w:sz="8" w:space="0" w:color="000000"/>
              <w:right w:val="single" w:sz="8" w:space="0" w:color="000000"/>
            </w:tcBorders>
            <w:vAlign w:val="center"/>
          </w:tcPr>
          <w:p/>
        </w:tc>
        <w:tc>
          <w:tcPr>
            <w:tcW w:w="1364" w:type="dxa"/>
            <w:vMerge/>
            <w:tcBorders>
              <w:top w:val="single" w:sz="8" w:space="0" w:color="000000"/>
              <w:left w:val="single" w:sz="8" w:space="0" w:color="000000"/>
              <w:bottom w:val="single" w:sz="8" w:space="0" w:color="000000"/>
              <w:right w:val="single" w:sz="8" w:space="0" w:color="000000"/>
            </w:tcBorders>
            <w:vAlign w:val="center"/>
          </w:tcPr>
          <w:p/>
        </w:tc>
        <w:tc>
          <w:tcPr>
            <w:tcW w:w="3852" w:type="dxa"/>
            <w:vMerge/>
            <w:tcBorders>
              <w:top w:val="single" w:sz="8" w:space="0" w:color="000000"/>
              <w:left w:val="single" w:sz="8" w:space="0" w:color="000000"/>
              <w:bottom w:val="single" w:sz="8" w:space="0" w:color="000000"/>
              <w:right w:val="single" w:sz="8" w:space="0" w:color="000000"/>
            </w:tcBorders>
            <w:vAlign w:val="center"/>
          </w:tcPr>
          <w:p/>
        </w:tc>
        <w:tc>
          <w:tcPr>
            <w:tcW w:w="1364"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政府性基金预算财政拨款</w:t>
            </w:r>
          </w:p>
        </w:tc>
      </w:tr>
      <w:tr>
        <w:trPr>
          <w:trHeight w:val="399"/>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361.44</w:t>
            </w: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b/>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r>
      <w:tr>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361.44</w:t>
            </w: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r>
      <w:tr>
        <w:trPr>
          <w:trHeight w:val="438"/>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459"/>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（三）事业收入</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（四）事业单位经营收入</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599"/>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（五）其他收入</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r>
      <w:tr>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449"/>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34.33</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34.33</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rPr>
          <w:trHeight w:val="454"/>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9.8</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9.8</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rPr>
          <w:trHeight w:val="432"/>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rPr>
          <w:trHeight w:val="453"/>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r>
      <w:tr>
        <w:trPr>
          <w:trHeight w:val="453"/>
        </w:trPr>
        <w:tc>
          <w:tcPr>
            <w:tcW w:w="5216" w:type="dxa"/>
            <w:gridSpan w:val="2"/>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18"/>
                <w:szCs w:val="18"/>
              </w:rPr>
            </w:pPr>
            <w:r>
              <w:rPr>
                <w:rFonts w:ascii="仿宋" w:eastAsia="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int="eastAsia"/>
                <w:b/>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18"/>
                <w:szCs w:val="18"/>
              </w:rPr>
            </w:pPr>
            <w:r>
              <w:rPr>
                <w:rFonts w:ascii="仿宋" w:eastAsia="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int="eastAsia"/>
                <w:b/>
                <w:color w:val="000000"/>
                <w:kern w:val="0"/>
                <w:sz w:val="22"/>
                <w:szCs w:val="22"/>
              </w:rPr>
              <w:t>出</w:t>
            </w:r>
          </w:p>
        </w:tc>
      </w:tr>
      <w:tr>
        <w:trPr>
          <w:trHeight w:val="453"/>
        </w:trPr>
        <w:tc>
          <w:tcPr>
            <w:tcW w:w="3852" w:type="dxa"/>
            <w:vMerge w:val="restart"/>
            <w:tcBorders>
              <w:top w:val="single" w:sz="8" w:space="0" w:color="000000"/>
              <w:left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项   目</w:t>
            </w:r>
          </w:p>
        </w:tc>
        <w:tc>
          <w:tcPr>
            <w:tcW w:w="1364" w:type="dxa"/>
            <w:vMerge w:val="restart"/>
            <w:tcBorders>
              <w:top w:val="single" w:sz="8" w:space="0" w:color="000000"/>
              <w:left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18"/>
                <w:szCs w:val="18"/>
              </w:rPr>
            </w:pPr>
            <w:r>
              <w:rPr>
                <w:rFonts w:ascii="仿宋" w:eastAsia="仿宋" w:hint="eastAsia"/>
                <w:b/>
                <w:color w:val="000000"/>
                <w:kern w:val="0"/>
                <w:sz w:val="22"/>
                <w:szCs w:val="22"/>
              </w:rPr>
              <w:t>预算数</w:t>
            </w:r>
          </w:p>
        </w:tc>
      </w:tr>
      <w:tr>
        <w:trPr>
          <w:trHeight w:val="453"/>
        </w:trPr>
        <w:tc>
          <w:tcPr>
            <w:tcW w:w="3852" w:type="dxa"/>
            <w:vMerge/>
            <w:tcBorders>
              <w:left w:val="single" w:sz="8" w:space="0" w:color="000000"/>
              <w:bottom w:val="single" w:sz="8" w:space="0" w:color="000000"/>
              <w:right w:val="single" w:sz="8" w:space="0" w:color="000000"/>
            </w:tcBorders>
            <w:vAlign w:val="center"/>
          </w:tcPr>
          <w:p/>
        </w:tc>
        <w:tc>
          <w:tcPr>
            <w:tcW w:w="1364" w:type="dxa"/>
            <w:vMerge/>
            <w:tcBorders>
              <w:left w:val="single" w:sz="8" w:space="0" w:color="000000"/>
              <w:bottom w:val="single" w:sz="8" w:space="0" w:color="000000"/>
              <w:right w:val="single" w:sz="8" w:space="0" w:color="000000"/>
            </w:tcBorders>
            <w:vAlign w:val="center"/>
          </w:tcPr>
          <w:p/>
        </w:tc>
        <w:tc>
          <w:tcPr>
            <w:tcW w:w="3852" w:type="dxa"/>
            <w:vMerge/>
            <w:tcBorders>
              <w:left w:val="single" w:sz="8" w:space="0" w:color="000000"/>
              <w:bottom w:val="single" w:sz="8" w:space="0" w:color="000000"/>
              <w:right w:val="single" w:sz="8" w:space="0" w:color="000000"/>
            </w:tcBorders>
            <w:vAlign w:val="center"/>
          </w:tcPr>
          <w:p/>
        </w:tc>
        <w:tc>
          <w:tcPr>
            <w:tcW w:w="1364"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b/>
                <w:kern w:val="0"/>
                <w:sz w:val="24"/>
              </w:rPr>
            </w:pPr>
            <w:r>
              <w:rPr>
                <w:rFonts w:ascii="仿宋" w:eastAsia="仿宋" w:hint="eastAsia"/>
                <w:b/>
                <w:color w:val="000000"/>
                <w:kern w:val="0"/>
                <w:sz w:val="22"/>
                <w:szCs w:val="22"/>
              </w:rPr>
              <w:t>政府性基金预算财政拨款</w:t>
            </w: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317.31</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kern w:val="0"/>
                <w:sz w:val="24"/>
              </w:rPr>
              <w:t>317.31</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（十六)金融支出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r>
              <w:rPr>
                <w:rFonts w:ascii="仿宋" w:eastAsia="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color w:val="000000"/>
                <w:kern w:val="0"/>
                <w:sz w:val="22"/>
                <w:szCs w:val="22"/>
              </w:rPr>
            </w:pP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b/>
                <w:color w:val="000000"/>
                <w:kern w:val="0"/>
                <w:sz w:val="22"/>
                <w:szCs w:val="22"/>
              </w:rPr>
              <w:t>二、年末结转结余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政府性基金预算财政拨款</w:t>
            </w:r>
          </w:p>
        </w:tc>
        <w:tc>
          <w:tcPr>
            <w:tcW w:w="1364" w:type="dxa"/>
            <w:tcBorders>
              <w:top w:val="nil"/>
              <w:left w:val="nil"/>
              <w:bottom w:val="nil"/>
              <w:right w:val="nil"/>
            </w:tcBorders>
            <w:vAlign w:val="center"/>
          </w:tcPr>
          <w:p>
            <w:pPr>
              <w:rPr>
                <w:rFonts w:ascii="仿宋" w:eastAsia="仿宋"/>
                <w:kern w:val="0"/>
                <w:sz w:val="24"/>
              </w:rPr>
            </w:pPr>
            <w:r>
              <w:rPr>
                <w:rFonts w:ascii="仿宋" w:eastAsia="仿宋" w:hint="eastAsia"/>
                <w:color w:val="000000"/>
                <w:kern w:val="0"/>
                <w:sz w:val="22"/>
                <w:szCs w:val="22"/>
              </w:rPr>
              <w:t>　</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18"/>
                <w:szCs w:val="18"/>
              </w:rPr>
            </w:pPr>
          </w:p>
        </w:tc>
        <w:tc>
          <w:tcPr>
            <w:tcW w:w="1364"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color w:val="000000"/>
                <w:kern w:val="0"/>
                <w:sz w:val="22"/>
                <w:szCs w:val="22"/>
              </w:rPr>
              <w:t>　</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c>
          <w:tcPr>
            <w:tcW w:w="1364" w:type="dxa"/>
            <w:tcBorders>
              <w:top w:val="single" w:sz="8" w:space="0" w:color="000000"/>
              <w:left w:val="single" w:sz="8" w:space="0" w:color="000000"/>
              <w:bottom w:val="single" w:sz="8" w:space="0" w:color="000000"/>
              <w:right w:val="single" w:sz="8" w:space="0" w:color="000000"/>
            </w:tcBorders>
            <w:vAlign w:val="center"/>
          </w:tcPr>
          <w:p>
            <w:pPr>
              <w:rPr>
                <w:rFonts w:ascii="仿宋" w:eastAsia="仿宋"/>
                <w:kern w:val="0"/>
                <w:sz w:val="24"/>
              </w:rPr>
            </w:pPr>
            <w:r>
              <w:rPr>
                <w:rFonts w:ascii="仿宋" w:eastAsia="仿宋" w:hint="eastAsia"/>
                <w:color w:val="000000"/>
                <w:kern w:val="0"/>
                <w:sz w:val="22"/>
                <w:szCs w:val="22"/>
              </w:rPr>
              <w:t>　</w:t>
            </w:r>
          </w:p>
        </w:tc>
      </w:tr>
      <w:tr>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kern w:val="0"/>
                <w:sz w:val="24"/>
              </w:rPr>
              <w:t>361.44</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color w:val="000000"/>
                <w:kern w:val="0"/>
                <w:sz w:val="22"/>
                <w:szCs w:val="22"/>
              </w:rPr>
              <w:t>支出总计                    361.44</w:t>
            </w:r>
          </w:p>
        </w:tc>
      </w:tr>
    </w:tbl>
    <w:p>
      <w:pPr>
        <w:rPr>
          <w:rFonts w:ascii="仿宋" w:eastAsia="仿宋"/>
          <w:b/>
          <w:kern w:val="0"/>
          <w:sz w:val="32"/>
          <w:szCs w:val="32"/>
        </w:rPr>
      </w:pPr>
    </w:p>
    <w:p>
      <w:pPr>
        <w:rPr>
          <w:rFonts w:ascii="仿宋" w:eastAsia="仿宋"/>
          <w:kern w:val="0"/>
          <w:sz w:val="32"/>
          <w:szCs w:val="32"/>
        </w:rPr>
      </w:pPr>
      <w:r>
        <w:rPr>
          <w:rFonts w:ascii="仿宋" w:eastAsia="仿宋" w:hint="eastAsia"/>
          <w:kern w:val="0"/>
          <w:sz w:val="32"/>
          <w:szCs w:val="32"/>
        </w:rPr>
        <w:t>注：支出预算功能科目各单位根据本单位实际据实填写，其他科目删除。</w:t>
      </w:r>
    </w:p>
    <w:p>
      <w:pPr>
        <w:rPr>
          <w:rFonts w:ascii="黑体" w:eastAsia="黑体"/>
          <w:kern w:val="0"/>
          <w:sz w:val="24"/>
        </w:rPr>
      </w:pPr>
      <w:r>
        <w:rPr>
          <w:rFonts w:ascii="黑体" w:eastAsia="黑体" w:hint="eastAsia"/>
          <w:kern w:val="0"/>
          <w:sz w:val="32"/>
          <w:szCs w:val="32"/>
        </w:rPr>
        <w:t>八、部门收入总表</w:t>
      </w:r>
    </w:p>
    <w:p>
      <w:pPr>
        <w:jc w:val="center"/>
        <w:rPr>
          <w:rFonts w:ascii="仿宋" w:eastAsia="仿宋"/>
          <w:kern w:val="0"/>
          <w:sz w:val="32"/>
          <w:szCs w:val="32"/>
        </w:rPr>
      </w:pPr>
      <w:r>
        <w:rPr>
          <w:rFonts w:ascii="仿宋" w:eastAsia="仿宋" w:hint="eastAsia"/>
          <w:b/>
          <w:kern w:val="0"/>
          <w:sz w:val="32"/>
          <w:szCs w:val="32"/>
        </w:rPr>
        <w:t>部门收入总表</w:t>
      </w:r>
    </w:p>
    <w:p>
      <w:pPr>
        <w:rPr>
          <w:rFonts w:ascii="仿宋" w:eastAsia="仿宋"/>
          <w:kern w:val="0"/>
          <w:sz w:val="28"/>
          <w:szCs w:val="28"/>
        </w:rPr>
      </w:pPr>
      <w:r>
        <w:rPr>
          <w:rFonts w:ascii="仿宋" w:eastAsia="仿宋" w:hint="eastAsia"/>
          <w:kern w:val="0"/>
          <w:sz w:val="32"/>
          <w:szCs w:val="32"/>
        </w:rPr>
        <w:t xml:space="preserve">                                             </w:t>
      </w:r>
      <w:r>
        <w:rPr>
          <w:rFonts w:ascii="仿宋" w:eastAsia="仿宋" w:hint="eastAsia"/>
          <w:kern w:val="0"/>
          <w:sz w:val="28"/>
          <w:szCs w:val="28"/>
        </w:rPr>
        <w:t xml:space="preserve"> 单位：万元</w:t>
      </w:r>
    </w:p>
    <w:tbl>
      <w:tblPr>
        <w:jc w:val="left"/>
        <w:tblW w:w="1387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187"/>
        <w:gridCol w:w="1878"/>
        <w:gridCol w:w="1158"/>
        <w:gridCol w:w="1158"/>
        <w:gridCol w:w="1158"/>
        <w:gridCol w:w="1173"/>
        <w:gridCol w:w="1158"/>
        <w:gridCol w:w="860"/>
        <w:gridCol w:w="900"/>
        <w:gridCol w:w="1080"/>
        <w:gridCol w:w="1080"/>
        <w:gridCol w:w="1080"/>
      </w:tblGrid>
      <w:tr>
        <w:trPr>
          <w:trHeight w:val="450"/>
        </w:trPr>
        <w:tc>
          <w:tcPr>
            <w:tcW w:w="3065" w:type="dxa"/>
            <w:gridSpan w:val="2"/>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功能分类科目</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合计</w:t>
            </w:r>
          </w:p>
        </w:tc>
        <w:tc>
          <w:tcPr>
            <w:tcW w:w="3489" w:type="dxa"/>
            <w:gridSpan w:val="3"/>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财政拨款收入</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事业收入</w:t>
            </w:r>
          </w:p>
        </w:tc>
        <w:tc>
          <w:tcPr>
            <w:tcW w:w="860" w:type="dxa"/>
            <w:vMerge w:val="restart"/>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事业单位经营收入</w:t>
            </w:r>
          </w:p>
        </w:tc>
        <w:tc>
          <w:tcPr>
            <w:tcW w:w="900" w:type="dxa"/>
            <w:vMerge w:val="restart"/>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上级补助收入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下级单位上缴收入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其他收入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用事业基金弥补收支差额</w:t>
            </w:r>
          </w:p>
        </w:tc>
      </w:tr>
      <w:tr>
        <w:tc>
          <w:tcPr>
            <w:tcW w:w="1187"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科目编码</w:t>
            </w:r>
          </w:p>
        </w:tc>
        <w:tc>
          <w:tcPr>
            <w:tcW w:w="1878"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科目名称</w:t>
            </w:r>
          </w:p>
        </w:tc>
        <w:tc>
          <w:tcPr>
            <w:tcW w:w="1158" w:type="dxa"/>
            <w:vMerge/>
            <w:tcBorders>
              <w:top w:val="single" w:sz="8" w:space="0" w:color="auto"/>
              <w:left w:val="single" w:sz="8" w:space="0" w:color="auto"/>
              <w:bottom w:val="single" w:sz="8" w:space="0" w:color="auto"/>
              <w:right w:val="single" w:sz="8" w:space="0" w:color="auto"/>
            </w:tcBorders>
            <w:vAlign w:val="center"/>
          </w:tcP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小计</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公共财政预算拨款收入</w:t>
            </w:r>
          </w:p>
        </w:tc>
        <w:tc>
          <w:tcPr>
            <w:tcW w:w="1173"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政府性基金预算拨款收入</w:t>
            </w:r>
          </w:p>
        </w:tc>
        <w:tc>
          <w:tcPr>
            <w:tcW w:w="1158" w:type="dxa"/>
            <w:vMerge/>
            <w:tcBorders>
              <w:top w:val="single" w:sz="8" w:space="0" w:color="auto"/>
              <w:left w:val="single" w:sz="8" w:space="0" w:color="auto"/>
              <w:bottom w:val="single" w:sz="8" w:space="0" w:color="auto"/>
              <w:right w:val="single" w:sz="8" w:space="0" w:color="auto"/>
            </w:tcBorders>
            <w:vAlign w:val="center"/>
          </w:tcPr>
          <w:p/>
        </w:tc>
        <w:tc>
          <w:tcPr>
            <w:tcW w:w="860" w:type="dxa"/>
            <w:vMerge/>
            <w:tcBorders>
              <w:top w:val="single" w:sz="8" w:space="0" w:color="auto"/>
              <w:left w:val="single" w:sz="8" w:space="0" w:color="auto"/>
              <w:bottom w:val="single" w:sz="8" w:space="0" w:color="auto"/>
              <w:right w:val="single" w:sz="8" w:space="0" w:color="auto"/>
            </w:tcBorders>
            <w:vAlign w:val="center"/>
          </w:tcPr>
          <w:p/>
        </w:tc>
        <w:tc>
          <w:tcPr>
            <w:tcW w:w="900" w:type="dxa"/>
            <w:vMerge/>
            <w:tcBorders>
              <w:top w:val="single" w:sz="8" w:space="0" w:color="auto"/>
              <w:left w:val="single" w:sz="8" w:space="0" w:color="auto"/>
              <w:bottom w:val="single" w:sz="8" w:space="0" w:color="auto"/>
              <w:right w:val="single" w:sz="8" w:space="0" w:color="auto"/>
            </w:tcBorders>
            <w:vAlign w:val="center"/>
          </w:tcPr>
          <w:p/>
        </w:tc>
        <w:tc>
          <w:tcPr>
            <w:tcW w:w="1080" w:type="dxa"/>
            <w:vMerge/>
            <w:tcBorders>
              <w:top w:val="single" w:sz="8" w:space="0" w:color="auto"/>
              <w:left w:val="single" w:sz="8" w:space="0" w:color="auto"/>
              <w:bottom w:val="single" w:sz="8" w:space="0" w:color="auto"/>
              <w:right w:val="single" w:sz="8" w:space="0" w:color="auto"/>
            </w:tcBorders>
            <w:vAlign w:val="center"/>
          </w:tcPr>
          <w:p/>
        </w:tc>
        <w:tc>
          <w:tcPr>
            <w:tcW w:w="1080" w:type="dxa"/>
            <w:vMerge/>
            <w:tcBorders>
              <w:top w:val="single" w:sz="8" w:space="0" w:color="auto"/>
              <w:left w:val="single" w:sz="8" w:space="0" w:color="auto"/>
              <w:bottom w:val="single" w:sz="8" w:space="0" w:color="auto"/>
              <w:right w:val="single" w:sz="8" w:space="0" w:color="auto"/>
            </w:tcBorders>
            <w:vAlign w:val="center"/>
          </w:tcPr>
          <w:p/>
        </w:tc>
        <w:tc>
          <w:tcPr>
            <w:tcW w:w="1080" w:type="dxa"/>
            <w:vMerge/>
            <w:tcBorders>
              <w:top w:val="single" w:sz="8" w:space="0" w:color="auto"/>
              <w:left w:val="single" w:sz="8" w:space="0" w:color="auto"/>
              <w:bottom w:val="single" w:sz="8" w:space="0" w:color="auto"/>
              <w:right w:val="single" w:sz="8" w:space="0" w:color="auto"/>
            </w:tcBorders>
            <w:vAlign w:val="center"/>
          </w:tcPr>
          <w:p/>
        </w:tc>
      </w:tr>
      <w:tr>
        <w:trPr>
          <w:trHeight w:val="427"/>
        </w:trPr>
        <w:tc>
          <w:tcPr>
            <w:tcW w:w="1187"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2080505</w:t>
            </w:r>
          </w:p>
        </w:tc>
        <w:tc>
          <w:tcPr>
            <w:tcW w:w="187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cs="Arial" w:hint="eastAsia"/>
                <w:color w:val="000000"/>
                <w:sz w:val="18"/>
                <w:szCs w:val="18"/>
              </w:rPr>
              <w:t>机关事业单位基本养老保险缴费支出</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24.52</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24.52</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24.52</w:t>
            </w:r>
          </w:p>
        </w:tc>
        <w:tc>
          <w:tcPr>
            <w:tcW w:w="117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860"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900"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p>
        </w:tc>
      </w:tr>
      <w:tr>
        <w:trPr>
          <w:trHeight w:val="447"/>
        </w:trPr>
        <w:tc>
          <w:tcPr>
            <w:tcW w:w="1187"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2080506</w:t>
            </w:r>
          </w:p>
        </w:tc>
        <w:tc>
          <w:tcPr>
            <w:tcW w:w="187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b/>
                <w:kern w:val="0"/>
                <w:sz w:val="18"/>
                <w:szCs w:val="18"/>
              </w:rPr>
            </w:pPr>
            <w:r>
              <w:rPr>
                <w:rFonts w:ascii="宋体" w:eastAsia="宋体" w:cs="Arial" w:hint="eastAsia"/>
                <w:color w:val="000000"/>
                <w:sz w:val="18"/>
                <w:szCs w:val="18"/>
              </w:rPr>
              <w:t>机关事业单位职业年金缴费支出</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9.8</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9.8</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9.8</w:t>
            </w:r>
          </w:p>
        </w:tc>
        <w:tc>
          <w:tcPr>
            <w:tcW w:w="117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b/>
                <w:kern w:val="0"/>
                <w:sz w:val="24"/>
              </w:rPr>
              <w:t>　</w:t>
            </w:r>
          </w:p>
        </w:tc>
        <w:tc>
          <w:tcPr>
            <w:tcW w:w="8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b/>
                <w:kern w:val="0"/>
                <w:sz w:val="24"/>
              </w:rPr>
              <w:t>　</w:t>
            </w:r>
          </w:p>
        </w:tc>
        <w:tc>
          <w:tcPr>
            <w:tcW w:w="90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b/>
                <w:kern w:val="0"/>
                <w:sz w:val="24"/>
              </w:rPr>
              <w:t>　</w:t>
            </w: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b/>
                <w:kern w:val="0"/>
                <w:sz w:val="24"/>
              </w:rPr>
              <w:t>　</w:t>
            </w: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b/>
                <w:kern w:val="0"/>
                <w:sz w:val="24"/>
              </w:rPr>
              <w:t>　</w:t>
            </w: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b/>
                <w:kern w:val="0"/>
                <w:sz w:val="24"/>
              </w:rPr>
              <w:t>　</w:t>
            </w:r>
          </w:p>
        </w:tc>
      </w:tr>
      <w:tr>
        <w:trPr>
          <w:trHeight w:val="438"/>
        </w:trPr>
        <w:tc>
          <w:tcPr>
            <w:tcW w:w="1187"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2101102</w:t>
            </w:r>
          </w:p>
        </w:tc>
        <w:tc>
          <w:tcPr>
            <w:tcW w:w="187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事业</w:t>
            </w:r>
            <w:r>
              <w:rPr>
                <w:rFonts w:ascii="宋体" w:eastAsia="宋体"/>
                <w:kern w:val="0"/>
                <w:sz w:val="18"/>
                <w:szCs w:val="18"/>
              </w:rPr>
              <w:t>单位医疗</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9.8</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9.8</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9.8</w:t>
            </w:r>
          </w:p>
        </w:tc>
        <w:tc>
          <w:tcPr>
            <w:tcW w:w="117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4"/>
              </w:rPr>
              <w:t>　</w:t>
            </w:r>
          </w:p>
        </w:tc>
        <w:tc>
          <w:tcPr>
            <w:tcW w:w="8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4"/>
              </w:rPr>
              <w:t>　</w:t>
            </w:r>
          </w:p>
        </w:tc>
        <w:tc>
          <w:tcPr>
            <w:tcW w:w="90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4"/>
              </w:rPr>
              <w:t>　</w:t>
            </w: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4"/>
              </w:rPr>
              <w:t>　</w:t>
            </w: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4"/>
              </w:rPr>
              <w:t>　</w:t>
            </w: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r>
              <w:rPr>
                <w:rFonts w:ascii="仿宋" w:eastAsia="仿宋" w:hint="eastAsia"/>
                <w:kern w:val="0"/>
                <w:sz w:val="24"/>
              </w:rPr>
              <w:t>　</w:t>
            </w:r>
          </w:p>
        </w:tc>
      </w:tr>
      <w:tr>
        <w:trPr>
          <w:trHeight w:val="444"/>
        </w:trPr>
        <w:tc>
          <w:tcPr>
            <w:tcW w:w="1187"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2150899</w:t>
            </w:r>
          </w:p>
        </w:tc>
        <w:tc>
          <w:tcPr>
            <w:tcW w:w="187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cs="Arial" w:hint="eastAsia"/>
                <w:color w:val="000000"/>
                <w:sz w:val="18"/>
                <w:szCs w:val="18"/>
              </w:rPr>
              <w:t>其他支持中小企业发展和管理支出</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317.31</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317.31</w:t>
            </w:r>
          </w:p>
        </w:tc>
        <w:tc>
          <w:tcPr>
            <w:tcW w:w="1158"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317.31</w:t>
            </w:r>
          </w:p>
        </w:tc>
        <w:tc>
          <w:tcPr>
            <w:tcW w:w="117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51"/>
        </w:trPr>
        <w:tc>
          <w:tcPr>
            <w:tcW w:w="1187"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57"/>
        </w:trPr>
        <w:tc>
          <w:tcPr>
            <w:tcW w:w="1187"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35"/>
        </w:trPr>
        <w:tc>
          <w:tcPr>
            <w:tcW w:w="1187"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55"/>
        </w:trPr>
        <w:tc>
          <w:tcPr>
            <w:tcW w:w="1187"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46"/>
        </w:trPr>
        <w:tc>
          <w:tcPr>
            <w:tcW w:w="1187"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39"/>
        </w:trPr>
        <w:tc>
          <w:tcPr>
            <w:tcW w:w="1187"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bl>
    <w:p>
      <w:pPr>
        <w:rPr>
          <w:rFonts w:ascii="仿宋" w:eastAsia="仿宋"/>
          <w:b/>
          <w:kern w:val="0"/>
          <w:sz w:val="32"/>
          <w:szCs w:val="32"/>
        </w:rPr>
      </w:pPr>
    </w:p>
    <w:p>
      <w:pPr>
        <w:rPr>
          <w:rFonts w:ascii="黑体" w:eastAsia="黑体"/>
          <w:kern w:val="0"/>
          <w:sz w:val="24"/>
        </w:rPr>
      </w:pPr>
      <w:r>
        <w:rPr>
          <w:rFonts w:ascii="黑体" w:eastAsia="黑体" w:hint="eastAsia"/>
          <w:kern w:val="0"/>
          <w:sz w:val="32"/>
          <w:szCs w:val="32"/>
        </w:rPr>
        <w:t>九、部门支出总表</w:t>
      </w:r>
    </w:p>
    <w:p>
      <w:pPr>
        <w:jc w:val="center"/>
        <w:rPr>
          <w:rFonts w:ascii="仿宋" w:eastAsia="仿宋"/>
          <w:b/>
          <w:kern w:val="0"/>
          <w:sz w:val="32"/>
          <w:szCs w:val="32"/>
        </w:rPr>
      </w:pPr>
      <w:r>
        <w:rPr>
          <w:rFonts w:ascii="仿宋" w:eastAsia="仿宋" w:hint="eastAsia"/>
          <w:b/>
          <w:kern w:val="0"/>
          <w:sz w:val="32"/>
          <w:szCs w:val="32"/>
        </w:rPr>
        <w:t>部门支出总表</w:t>
      </w:r>
    </w:p>
    <w:p>
      <w:pPr>
        <w:rPr>
          <w:rFonts w:ascii="仿宋" w:eastAsia="仿宋"/>
          <w:kern w:val="0"/>
          <w:sz w:val="28"/>
          <w:szCs w:val="28"/>
        </w:rPr>
      </w:pPr>
      <w:r>
        <w:rPr>
          <w:rFonts w:ascii="仿宋" w:eastAsia="仿宋" w:hint="eastAsia"/>
          <w:kern w:val="0"/>
          <w:sz w:val="32"/>
          <w:szCs w:val="32"/>
        </w:rPr>
        <w:t xml:space="preserve">                                        </w:t>
      </w:r>
      <w:r>
        <w:rPr>
          <w:rFonts w:ascii="仿宋" w:eastAsia="仿宋" w:hint="eastAsia"/>
          <w:kern w:val="0"/>
          <w:sz w:val="28"/>
          <w:szCs w:val="28"/>
        </w:rPr>
        <w:t xml:space="preserve"> 单位：万元</w:t>
      </w:r>
    </w:p>
    <w:tbl>
      <w:tblPr>
        <w:jc w:val="left"/>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185"/>
        <w:gridCol w:w="2835"/>
        <w:gridCol w:w="1740"/>
        <w:gridCol w:w="1740"/>
        <w:gridCol w:w="1510"/>
        <w:gridCol w:w="1440"/>
        <w:gridCol w:w="1440"/>
        <w:gridCol w:w="1260"/>
      </w:tblGrid>
      <w:tr>
        <w:trPr>
          <w:trHeight w:val="444"/>
        </w:trPr>
        <w:tc>
          <w:tcPr>
            <w:tcW w:w="4020" w:type="dxa"/>
            <w:gridSpan w:val="2"/>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功能分类科目</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kern w:val="0"/>
                <w:sz w:val="24"/>
              </w:rPr>
              <w:t>合计</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kern w:val="0"/>
                <w:sz w:val="24"/>
              </w:rPr>
              <w:t>基本支出</w:t>
            </w:r>
          </w:p>
        </w:tc>
        <w:tc>
          <w:tcPr>
            <w:tcW w:w="1510" w:type="dxa"/>
            <w:vMerge w:val="restart"/>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kern w:val="0"/>
                <w:sz w:val="24"/>
              </w:rPr>
              <w:t>项目支出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kern w:val="0"/>
                <w:sz w:val="24"/>
              </w:rPr>
              <w:t>上缴上级支出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kern w:val="0"/>
                <w:sz w:val="24"/>
              </w:rPr>
              <w:t>事业单位经营支出</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tcPr>
          <w:p>
            <w:pPr>
              <w:jc w:val="center"/>
              <w:rPr>
                <w:rFonts w:ascii="仿宋" w:eastAsia="仿宋"/>
                <w:kern w:val="0"/>
                <w:sz w:val="24"/>
              </w:rPr>
            </w:pPr>
            <w:r>
              <w:rPr>
                <w:rFonts w:ascii="仿宋" w:eastAsia="仿宋" w:hint="eastAsia"/>
                <w:b/>
                <w:kern w:val="0"/>
                <w:sz w:val="24"/>
              </w:rPr>
              <w:t>对下级单位补助支出</w:t>
            </w:r>
          </w:p>
        </w:tc>
      </w:tr>
      <w:tr>
        <w:trPr>
          <w:trHeight w:val="450"/>
        </w:trPr>
        <w:tc>
          <w:tcPr>
            <w:tcW w:w="1185"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科目编码</w:t>
            </w:r>
          </w:p>
        </w:tc>
        <w:tc>
          <w:tcPr>
            <w:tcW w:w="2835"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24"/>
              </w:rPr>
            </w:pPr>
            <w:r>
              <w:rPr>
                <w:rFonts w:ascii="仿宋" w:eastAsia="仿宋" w:hint="eastAsia"/>
                <w:b/>
                <w:kern w:val="0"/>
                <w:sz w:val="24"/>
              </w:rPr>
              <w:t>科目名称</w:t>
            </w:r>
          </w:p>
        </w:tc>
        <w:tc>
          <w:tcPr>
            <w:tcW w:w="1740" w:type="dxa"/>
            <w:vMerge/>
            <w:tcBorders>
              <w:top w:val="single" w:sz="8" w:space="0" w:color="000000"/>
              <w:left w:val="single" w:sz="8" w:space="0" w:color="000000"/>
              <w:bottom w:val="single" w:sz="8" w:space="0" w:color="000000"/>
              <w:right w:val="single" w:sz="8" w:space="0" w:color="000000"/>
            </w:tcBorders>
            <w:vAlign w:val="center"/>
          </w:tcPr>
          <w:p/>
        </w:tc>
        <w:tc>
          <w:tcPr>
            <w:tcW w:w="1740" w:type="dxa"/>
            <w:vMerge/>
            <w:tcBorders>
              <w:top w:val="single" w:sz="8" w:space="0" w:color="000000"/>
              <w:left w:val="single" w:sz="8" w:space="0" w:color="000000"/>
              <w:bottom w:val="single" w:sz="8" w:space="0" w:color="000000"/>
              <w:right w:val="single" w:sz="8" w:space="0" w:color="000000"/>
            </w:tcBorders>
            <w:vAlign w:val="center"/>
          </w:tcPr>
          <w:p/>
        </w:tc>
        <w:tc>
          <w:tcPr>
            <w:tcW w:w="1510" w:type="dxa"/>
            <w:vMerge/>
            <w:tcBorders>
              <w:top w:val="single" w:sz="8" w:space="0" w:color="000000"/>
              <w:left w:val="single" w:sz="8" w:space="0" w:color="000000"/>
              <w:bottom w:val="single" w:sz="8" w:space="0" w:color="000000"/>
              <w:right w:val="single" w:sz="8" w:space="0" w:color="000000"/>
            </w:tcBorders>
            <w:vAlign w:val="center"/>
          </w:tcPr>
          <w:p/>
        </w:tc>
        <w:tc>
          <w:tcPr>
            <w:tcW w:w="1440" w:type="dxa"/>
            <w:vMerge/>
            <w:tcBorders>
              <w:top w:val="single" w:sz="8" w:space="0" w:color="000000"/>
              <w:left w:val="single" w:sz="8" w:space="0" w:color="000000"/>
              <w:bottom w:val="single" w:sz="8" w:space="0" w:color="000000"/>
              <w:right w:val="single" w:sz="8" w:space="0" w:color="000000"/>
            </w:tcBorders>
            <w:vAlign w:val="center"/>
          </w:tcPr>
          <w:p/>
        </w:tc>
        <w:tc>
          <w:tcPr>
            <w:tcW w:w="1440" w:type="dxa"/>
            <w:vMerge/>
            <w:tcBorders>
              <w:top w:val="single" w:sz="8" w:space="0" w:color="000000"/>
              <w:left w:val="single" w:sz="8" w:space="0" w:color="000000"/>
              <w:bottom w:val="single" w:sz="8" w:space="0" w:color="000000"/>
              <w:right w:val="single" w:sz="8" w:space="0" w:color="000000"/>
            </w:tcBorders>
            <w:vAlign w:val="center"/>
          </w:tcPr>
          <w:p/>
        </w:tc>
        <w:tc>
          <w:tcPr>
            <w:tcW w:w="1260" w:type="dxa"/>
            <w:vMerge/>
            <w:tcBorders>
              <w:top w:val="single" w:sz="8" w:space="0" w:color="000000"/>
              <w:left w:val="single" w:sz="8" w:space="0" w:color="000000"/>
              <w:bottom w:val="single" w:sz="8" w:space="0" w:color="000000"/>
              <w:right w:val="single" w:sz="8" w:space="0" w:color="000000"/>
            </w:tcBorders>
            <w:vAlign w:val="center"/>
          </w:tcPr>
          <w:p/>
        </w:tc>
      </w:tr>
      <w:tr>
        <w:trPr>
          <w:trHeight w:val="443"/>
        </w:trPr>
        <w:tc>
          <w:tcPr>
            <w:tcW w:w="118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2080505</w:t>
            </w:r>
          </w:p>
        </w:tc>
        <w:tc>
          <w:tcPr>
            <w:tcW w:w="283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cs="Arial" w:hint="eastAsia"/>
                <w:color w:val="000000"/>
                <w:sz w:val="18"/>
                <w:szCs w:val="18"/>
              </w:rPr>
              <w:t>机关事业单位基本养老保险缴费支出</w:t>
            </w:r>
          </w:p>
        </w:tc>
        <w:tc>
          <w:tcPr>
            <w:tcW w:w="174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24.52</w:t>
            </w:r>
          </w:p>
        </w:tc>
        <w:tc>
          <w:tcPr>
            <w:tcW w:w="174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24.52</w:t>
            </w:r>
          </w:p>
        </w:tc>
        <w:tc>
          <w:tcPr>
            <w:tcW w:w="151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pPr>
              <w:jc w:val="center"/>
              <w:rPr>
                <w:rFonts w:ascii="仿宋" w:eastAsia="仿宋"/>
                <w:kern w:val="0"/>
                <w:sz w:val="18"/>
                <w:szCs w:val="18"/>
              </w:rPr>
            </w:pPr>
          </w:p>
        </w:tc>
      </w:tr>
      <w:tr>
        <w:trPr>
          <w:trHeight w:val="449"/>
        </w:trPr>
        <w:tc>
          <w:tcPr>
            <w:tcW w:w="118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2080506</w:t>
            </w:r>
          </w:p>
        </w:tc>
        <w:tc>
          <w:tcPr>
            <w:tcW w:w="283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cs="Arial" w:hint="eastAsia"/>
                <w:color w:val="000000"/>
                <w:sz w:val="18"/>
                <w:szCs w:val="18"/>
              </w:rPr>
              <w:t>机关事业单位职业年金缴费支出</w:t>
            </w:r>
          </w:p>
        </w:tc>
        <w:tc>
          <w:tcPr>
            <w:tcW w:w="174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9.8</w:t>
            </w:r>
          </w:p>
        </w:tc>
        <w:tc>
          <w:tcPr>
            <w:tcW w:w="174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9.8</w:t>
            </w:r>
          </w:p>
        </w:tc>
        <w:tc>
          <w:tcPr>
            <w:tcW w:w="151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55"/>
        </w:trPr>
        <w:tc>
          <w:tcPr>
            <w:tcW w:w="118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210110</w:t>
            </w:r>
            <w:r>
              <w:rPr>
                <w:rFonts w:ascii="宋体" w:eastAsia="宋体"/>
                <w:kern w:val="0"/>
                <w:sz w:val="18"/>
                <w:szCs w:val="18"/>
              </w:rPr>
              <w:t>2</w:t>
            </w:r>
          </w:p>
        </w:tc>
        <w:tc>
          <w:tcPr>
            <w:tcW w:w="283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事业</w:t>
            </w:r>
            <w:r>
              <w:rPr>
                <w:rFonts w:ascii="宋体" w:eastAsia="宋体"/>
                <w:kern w:val="0"/>
                <w:sz w:val="18"/>
                <w:szCs w:val="18"/>
              </w:rPr>
              <w:t>单位医疗</w:t>
            </w:r>
          </w:p>
        </w:tc>
        <w:tc>
          <w:tcPr>
            <w:tcW w:w="174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9.8</w:t>
            </w:r>
          </w:p>
        </w:tc>
        <w:tc>
          <w:tcPr>
            <w:tcW w:w="174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9.8</w:t>
            </w:r>
          </w:p>
        </w:tc>
        <w:tc>
          <w:tcPr>
            <w:tcW w:w="151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33"/>
        </w:trPr>
        <w:tc>
          <w:tcPr>
            <w:tcW w:w="118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2150899</w:t>
            </w:r>
          </w:p>
        </w:tc>
        <w:tc>
          <w:tcPr>
            <w:tcW w:w="2835"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cs="Arial" w:hint="eastAsia"/>
                <w:color w:val="000000"/>
                <w:sz w:val="18"/>
                <w:szCs w:val="18"/>
              </w:rPr>
              <w:t>其他支持中小企业发展和管理支出</w:t>
            </w:r>
          </w:p>
        </w:tc>
        <w:tc>
          <w:tcPr>
            <w:tcW w:w="174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317.31</w:t>
            </w:r>
          </w:p>
        </w:tc>
        <w:tc>
          <w:tcPr>
            <w:tcW w:w="174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217.31</w:t>
            </w:r>
          </w:p>
        </w:tc>
        <w:tc>
          <w:tcPr>
            <w:tcW w:w="151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kern w:val="0"/>
                <w:sz w:val="18"/>
                <w:szCs w:val="18"/>
              </w:rPr>
            </w:pPr>
            <w:r>
              <w:rPr>
                <w:rFonts w:ascii="宋体" w:eastAsia="宋体" w:hint="eastAsia"/>
                <w:kern w:val="0"/>
                <w:sz w:val="18"/>
                <w:szCs w:val="18"/>
              </w:rPr>
              <w:t>100</w:t>
            </w: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52"/>
        </w:trPr>
        <w:tc>
          <w:tcPr>
            <w:tcW w:w="118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51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45"/>
        </w:trPr>
        <w:tc>
          <w:tcPr>
            <w:tcW w:w="118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51"/>
        </w:trPr>
        <w:tc>
          <w:tcPr>
            <w:tcW w:w="118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43"/>
        </w:trPr>
        <w:tc>
          <w:tcPr>
            <w:tcW w:w="118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49"/>
        </w:trPr>
        <w:tc>
          <w:tcPr>
            <w:tcW w:w="118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r>
        <w:trPr>
          <w:trHeight w:val="454"/>
        </w:trPr>
        <w:tc>
          <w:tcPr>
            <w:tcW w:w="118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pPr>
              <w:rPr>
                <w:rFonts w:ascii="仿宋" w:eastAsia="仿宋"/>
                <w:kern w:val="0"/>
                <w:sz w:val="18"/>
                <w:szCs w:val="18"/>
              </w:rPr>
            </w:pPr>
          </w:p>
        </w:tc>
      </w:tr>
    </w:tbl>
    <w:p>
      <w:pPr>
        <w:rPr>
          <w:rFonts w:ascii="仿宋" w:eastAsia="仿宋"/>
        </w:rPr>
      </w:pPr>
    </w:p>
    <w:p>
      <w:pPr>
        <w:ind w:firstLineChars="224" w:firstLine="716"/>
        <w:rPr>
          <w:rFonts w:ascii="仿宋" w:eastAsia="仿宋"/>
          <w:kern w:val="0"/>
          <w:sz w:val="32"/>
          <w:szCs w:val="32"/>
        </w:rPr>
        <w:sectPr>
          <w:pgSz w:w="16838" w:h="11906" w:orient="landscape"/>
          <w:pgMar w:top="1418" w:right="1418" w:bottom="1418" w:left="1701" w:header="851" w:footer="992" w:gutter="0"/>
          <w:docGrid w:type="lines" w:linePitch="312" w:charSpace="0"/>
        </w:sectPr>
      </w:pPr>
    </w:p>
    <w:p>
      <w:pPr>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吴忠青铜峡新材料基地管理委员会2018年部门预算——部门预算情况说明</w:t>
      </w:r>
    </w:p>
    <w:p>
      <w:pPr>
        <w:rPr>
          <w:rFonts w:ascii="仿宋" w:eastAsia="仿宋"/>
          <w:sz w:val="32"/>
          <w:szCs w:val="32"/>
        </w:rPr>
      </w:pPr>
    </w:p>
    <w:p>
      <w:pPr>
        <w:ind w:firstLineChars="225" w:firstLine="720"/>
        <w:rPr>
          <w:rFonts w:ascii="黑体" w:eastAsia="黑体"/>
          <w:sz w:val="32"/>
          <w:szCs w:val="32"/>
        </w:rPr>
      </w:pPr>
      <w:r>
        <w:rPr>
          <w:rFonts w:ascii="黑体" w:eastAsia="黑体" w:hint="eastAsia"/>
          <w:sz w:val="32"/>
          <w:szCs w:val="32"/>
        </w:rPr>
        <w:t>一、关于吴忠青铜峡新材料基地管理委员会2018年财政拨款收支预算情况的总体说明</w:t>
      </w:r>
    </w:p>
    <w:p>
      <w:pPr>
        <w:ind w:firstLineChars="225" w:firstLine="720"/>
        <w:rPr>
          <w:rFonts w:ascii="仿宋" w:eastAsia="仿宋"/>
          <w:sz w:val="32"/>
          <w:szCs w:val="32"/>
        </w:rPr>
      </w:pPr>
      <w:r>
        <w:rPr>
          <w:rFonts w:ascii="宋体" w:cs="宋体" w:hint="eastAsia"/>
          <w:sz w:val="32"/>
          <w:szCs w:val="32"/>
        </w:rPr>
        <w:t>吴忠青铜峡新材料基地管理委员会</w:t>
      </w:r>
      <w:r>
        <w:rPr>
          <w:rFonts w:ascii="仿宋" w:eastAsia="仿宋" w:hint="eastAsia"/>
          <w:sz w:val="32"/>
          <w:szCs w:val="32"/>
        </w:rPr>
        <w:t>2018年财政拨款收支总预算</w:t>
      </w:r>
      <w:r>
        <w:rPr>
          <w:rFonts w:ascii="仿宋" w:eastAsia="仿宋"/>
          <w:sz w:val="32"/>
          <w:szCs w:val="32"/>
        </w:rPr>
        <w:t>361.44</w:t>
      </w:r>
      <w:r>
        <w:rPr>
          <w:rFonts w:ascii="仿宋" w:eastAsia="仿宋" w:hint="eastAsia"/>
          <w:sz w:val="32"/>
          <w:szCs w:val="32"/>
        </w:rPr>
        <w:t>万元。收入预算包括：一般公共预算拨款</w:t>
      </w:r>
      <w:r>
        <w:rPr>
          <w:rFonts w:ascii="仿宋" w:eastAsia="仿宋"/>
          <w:sz w:val="32"/>
          <w:szCs w:val="32"/>
        </w:rPr>
        <w:t>361.44</w:t>
      </w:r>
      <w:r>
        <w:rPr>
          <w:rFonts w:ascii="仿宋" w:eastAsia="仿宋" w:hint="eastAsia"/>
          <w:sz w:val="32"/>
          <w:szCs w:val="32"/>
        </w:rPr>
        <w:t>万元，政府性基金预算拨款</w:t>
      </w:r>
      <w:r>
        <w:rPr>
          <w:rFonts w:ascii="仿宋" w:eastAsia="仿宋"/>
          <w:sz w:val="32"/>
          <w:szCs w:val="32"/>
        </w:rPr>
        <w:t>0</w:t>
      </w:r>
      <w:r>
        <w:rPr>
          <w:rFonts w:ascii="仿宋" w:eastAsia="仿宋" w:hint="eastAsia"/>
          <w:sz w:val="32"/>
          <w:szCs w:val="32"/>
        </w:rPr>
        <w:t>万元。支出预算包括：按政府收支分类功能科目逐项说明。如，一般公共服务支出</w:t>
      </w:r>
      <w:r>
        <w:rPr>
          <w:rFonts w:ascii="仿宋" w:eastAsia="仿宋"/>
          <w:sz w:val="32"/>
          <w:szCs w:val="32"/>
        </w:rPr>
        <w:t>315.86</w:t>
      </w:r>
      <w:r>
        <w:rPr>
          <w:rFonts w:ascii="仿宋" w:eastAsia="仿宋" w:hint="eastAsia"/>
          <w:sz w:val="32"/>
          <w:szCs w:val="32"/>
        </w:rPr>
        <w:t>万元、社会保障和就业支出</w:t>
      </w:r>
      <w:r>
        <w:rPr>
          <w:rFonts w:ascii="仿宋" w:eastAsia="仿宋"/>
          <w:sz w:val="32"/>
          <w:szCs w:val="32"/>
        </w:rPr>
        <w:t>45.58</w:t>
      </w:r>
      <w:r>
        <w:rPr>
          <w:rFonts w:ascii="仿宋" w:eastAsia="仿宋" w:hint="eastAsia"/>
          <w:sz w:val="32"/>
          <w:szCs w:val="32"/>
        </w:rPr>
        <w:t>万元、住房保障支出</w:t>
      </w:r>
      <w:r>
        <w:rPr>
          <w:rFonts w:ascii="仿宋" w:eastAsia="仿宋"/>
          <w:sz w:val="32"/>
          <w:szCs w:val="32"/>
        </w:rPr>
        <w:t>0</w:t>
      </w:r>
      <w:r>
        <w:rPr>
          <w:rFonts w:ascii="仿宋" w:eastAsia="仿宋" w:hint="eastAsia"/>
          <w:sz w:val="32"/>
          <w:szCs w:val="32"/>
        </w:rPr>
        <w:t>万元。</w:t>
      </w:r>
    </w:p>
    <w:p>
      <w:pPr>
        <w:ind w:firstLineChars="225" w:firstLine="720"/>
        <w:rPr>
          <w:rFonts w:ascii="黑体" w:eastAsia="黑体"/>
          <w:sz w:val="32"/>
          <w:szCs w:val="32"/>
        </w:rPr>
      </w:pPr>
      <w:r>
        <w:rPr>
          <w:rFonts w:ascii="黑体" w:eastAsia="黑体" w:hint="eastAsia"/>
          <w:sz w:val="32"/>
          <w:szCs w:val="32"/>
        </w:rPr>
        <w:t>二、关于吴忠青铜峡新材料基地管理委员会2018年一般公共预算拨款情况说明</w:t>
      </w:r>
    </w:p>
    <w:p>
      <w:pPr>
        <w:ind w:firstLineChars="225" w:firstLine="720"/>
        <w:rPr>
          <w:rFonts w:ascii="楷体" w:eastAsia="楷体"/>
          <w:b/>
          <w:sz w:val="32"/>
          <w:szCs w:val="32"/>
        </w:rPr>
      </w:pPr>
      <w:r>
        <w:rPr>
          <w:rFonts w:ascii="楷体" w:eastAsia="楷体" w:hint="eastAsia"/>
          <w:b/>
          <w:sz w:val="32"/>
          <w:szCs w:val="32"/>
        </w:rPr>
        <w:t>（一）基本支出情况说明。</w:t>
      </w:r>
    </w:p>
    <w:p>
      <w:pPr>
        <w:ind w:firstLineChars="225" w:firstLine="720"/>
        <w:rPr>
          <w:rFonts w:ascii="仿宋" w:eastAsia="仿宋"/>
          <w:sz w:val="32"/>
          <w:szCs w:val="32"/>
        </w:rPr>
      </w:pPr>
      <w:r>
        <w:rPr>
          <w:rFonts w:ascii="宋体" w:cs="宋体" w:hint="eastAsia"/>
          <w:sz w:val="32"/>
          <w:szCs w:val="32"/>
        </w:rPr>
        <w:t>吴忠青铜峡新材料基地管理委员会</w:t>
      </w:r>
      <w:r>
        <w:rPr>
          <w:rFonts w:ascii="仿宋" w:eastAsia="仿宋" w:hint="eastAsia"/>
          <w:sz w:val="32"/>
          <w:szCs w:val="32"/>
        </w:rPr>
        <w:t>2018年一般公共预算拨款基本支出</w:t>
      </w:r>
      <w:r>
        <w:rPr>
          <w:rFonts w:ascii="仿宋" w:eastAsia="仿宋"/>
          <w:sz w:val="32"/>
          <w:szCs w:val="32"/>
        </w:rPr>
        <w:t>361.44</w:t>
      </w:r>
      <w:r>
        <w:rPr>
          <w:rFonts w:ascii="仿宋" w:eastAsia="仿宋" w:hint="eastAsia"/>
          <w:sz w:val="32"/>
          <w:szCs w:val="32"/>
        </w:rPr>
        <w:t>万元，其中：</w:t>
      </w:r>
    </w:p>
    <w:p>
      <w:pPr>
        <w:ind w:firstLineChars="225" w:firstLine="720"/>
        <w:rPr>
          <w:rFonts w:ascii="仿宋" w:eastAsia="仿宋"/>
          <w:sz w:val="32"/>
          <w:szCs w:val="32"/>
        </w:rPr>
      </w:pPr>
      <w:r>
        <w:rPr>
          <w:rFonts w:ascii="仿宋" w:eastAsia="仿宋" w:hint="eastAsia"/>
          <w:sz w:val="32"/>
          <w:szCs w:val="32"/>
        </w:rPr>
        <w:t>人员经费</w:t>
      </w:r>
      <w:r>
        <w:rPr>
          <w:rFonts w:ascii="仿宋" w:eastAsia="仿宋"/>
          <w:sz w:val="32"/>
          <w:szCs w:val="32"/>
        </w:rPr>
        <w:t>238.09</w:t>
      </w:r>
      <w:r>
        <w:rPr>
          <w:rFonts w:ascii="仿宋" w:eastAsia="仿宋" w:hint="eastAsia"/>
          <w:sz w:val="32"/>
          <w:szCs w:val="32"/>
        </w:rPr>
        <w:t>万元，主要包括：基本工资74.96万元、津贴补贴15.25万元、社会保障缴费</w:t>
      </w:r>
      <w:r>
        <w:rPr>
          <w:rFonts w:ascii="仿宋" w:eastAsia="仿宋"/>
          <w:sz w:val="32"/>
          <w:szCs w:val="32"/>
        </w:rPr>
        <w:t>44.12</w:t>
      </w:r>
      <w:r>
        <w:rPr>
          <w:rFonts w:ascii="仿宋" w:eastAsia="仿宋" w:hint="eastAsia"/>
          <w:sz w:val="32"/>
          <w:szCs w:val="32"/>
        </w:rPr>
        <w:t>万元、绩效</w:t>
      </w:r>
      <w:r>
        <w:rPr>
          <w:rFonts w:ascii="仿宋" w:eastAsia="仿宋"/>
          <w:sz w:val="32"/>
          <w:szCs w:val="32"/>
        </w:rPr>
        <w:t>工资</w:t>
      </w:r>
      <w:r>
        <w:rPr>
          <w:rFonts w:ascii="仿宋" w:eastAsia="仿宋" w:hint="eastAsia"/>
          <w:sz w:val="32"/>
          <w:szCs w:val="32"/>
        </w:rPr>
        <w:t>48.64万元</w:t>
      </w:r>
      <w:r>
        <w:rPr>
          <w:rFonts w:ascii="仿宋" w:eastAsia="仿宋"/>
          <w:sz w:val="32"/>
          <w:szCs w:val="32"/>
        </w:rPr>
        <w:t>、</w:t>
      </w:r>
      <w:r>
        <w:rPr>
          <w:rFonts w:ascii="仿宋" w:eastAsia="仿宋" w:hint="eastAsia"/>
          <w:sz w:val="32"/>
          <w:szCs w:val="32"/>
        </w:rPr>
        <w:t>其他</w:t>
      </w:r>
      <w:r>
        <w:rPr>
          <w:rFonts w:ascii="仿宋" w:eastAsia="仿宋"/>
          <w:sz w:val="32"/>
          <w:szCs w:val="32"/>
        </w:rPr>
        <w:t>社会保障缴费</w:t>
      </w:r>
      <w:r>
        <w:rPr>
          <w:rFonts w:ascii="仿宋" w:eastAsia="仿宋" w:hint="eastAsia"/>
          <w:sz w:val="32"/>
          <w:szCs w:val="32"/>
        </w:rPr>
        <w:t>1.45万元</w:t>
      </w:r>
      <w:r>
        <w:rPr>
          <w:rFonts w:ascii="仿宋" w:eastAsia="仿宋"/>
          <w:sz w:val="32"/>
          <w:szCs w:val="32"/>
        </w:rPr>
        <w:t>、住房公积金</w:t>
      </w:r>
      <w:r>
        <w:rPr>
          <w:rFonts w:ascii="仿宋" w:eastAsia="仿宋" w:hint="eastAsia"/>
          <w:sz w:val="32"/>
          <w:szCs w:val="32"/>
        </w:rPr>
        <w:t>15.38万元</w:t>
      </w:r>
      <w:r>
        <w:rPr>
          <w:rFonts w:ascii="仿宋" w:eastAsia="仿宋"/>
          <w:sz w:val="32"/>
          <w:szCs w:val="32"/>
        </w:rPr>
        <w:t>、</w:t>
      </w:r>
      <w:r>
        <w:rPr>
          <w:rFonts w:ascii="仿宋" w:eastAsia="仿宋" w:hint="eastAsia"/>
          <w:sz w:val="32"/>
          <w:szCs w:val="32"/>
        </w:rPr>
        <w:t>其他工资福利支出38.28万元；</w:t>
      </w:r>
    </w:p>
    <w:p>
      <w:pPr>
        <w:ind w:firstLineChars="225" w:firstLine="720"/>
        <w:rPr>
          <w:rFonts w:ascii="仿宋" w:eastAsia="仿宋"/>
          <w:sz w:val="32"/>
          <w:szCs w:val="32"/>
        </w:rPr>
      </w:pPr>
      <w:r>
        <w:rPr>
          <w:rFonts w:ascii="仿宋" w:eastAsia="仿宋" w:hint="eastAsia"/>
          <w:sz w:val="32"/>
          <w:szCs w:val="32"/>
        </w:rPr>
        <w:t>公用经费</w:t>
      </w:r>
      <w:r>
        <w:rPr>
          <w:rFonts w:ascii="仿宋" w:eastAsia="仿宋"/>
          <w:sz w:val="32"/>
          <w:szCs w:val="32"/>
        </w:rPr>
        <w:t>23.35</w:t>
      </w:r>
      <w:r>
        <w:rPr>
          <w:rFonts w:ascii="仿宋" w:eastAsia="仿宋" w:hint="eastAsia"/>
          <w:sz w:val="32"/>
          <w:szCs w:val="32"/>
        </w:rPr>
        <w:t>万元，主要包括：办公费0.5万元、电费0.5万元、取暖费12.75万元、差旅费1.2万元、公务接待费1.2万元、工会经费1.2万元、公务用车运行维护费6万元。</w:t>
      </w:r>
    </w:p>
    <w:p>
      <w:pPr>
        <w:ind w:firstLineChars="225" w:firstLine="720"/>
        <w:rPr>
          <w:rFonts w:ascii="楷体" w:eastAsia="楷体"/>
          <w:b/>
          <w:sz w:val="32"/>
          <w:szCs w:val="32"/>
        </w:rPr>
      </w:pPr>
      <w:r>
        <w:rPr>
          <w:rFonts w:ascii="楷体" w:eastAsia="楷体" w:hint="eastAsia"/>
          <w:b/>
          <w:sz w:val="32"/>
          <w:szCs w:val="32"/>
        </w:rPr>
        <w:t>（二）项目支出情况说明。</w:t>
      </w:r>
    </w:p>
    <w:p>
      <w:pPr>
        <w:ind w:firstLineChars="225" w:firstLine="720"/>
        <w:rPr>
          <w:rFonts w:ascii="仿宋" w:eastAsia="仿宋"/>
          <w:sz w:val="32"/>
          <w:szCs w:val="32"/>
        </w:rPr>
      </w:pPr>
      <w:r>
        <w:rPr>
          <w:rFonts w:ascii="仿宋" w:eastAsia="仿宋" w:hint="eastAsia"/>
          <w:sz w:val="32"/>
          <w:szCs w:val="32"/>
        </w:rPr>
        <w:t>吴忠青铜峡新材料基地管理委员会2018年一般公共预算拨款项目支出</w:t>
      </w:r>
      <w:r>
        <w:rPr>
          <w:rFonts w:ascii="仿宋" w:eastAsia="仿宋"/>
          <w:sz w:val="32"/>
          <w:szCs w:val="32"/>
        </w:rPr>
        <w:t>100</w:t>
      </w:r>
      <w:r>
        <w:rPr>
          <w:rFonts w:ascii="仿宋" w:eastAsia="仿宋" w:hint="eastAsia"/>
          <w:sz w:val="32"/>
          <w:szCs w:val="32"/>
        </w:rPr>
        <w:t>万元，其中：按政府收支科目类、款、项为2150899，其他支持</w:t>
      </w:r>
      <w:r>
        <w:rPr>
          <w:rFonts w:ascii="仿宋" w:eastAsia="仿宋"/>
          <w:sz w:val="32"/>
          <w:szCs w:val="32"/>
        </w:rPr>
        <w:t>中小企业发展和管理支出</w:t>
      </w:r>
      <w:r>
        <w:rPr>
          <w:rFonts w:ascii="仿宋" w:eastAsia="仿宋" w:hint="eastAsia"/>
          <w:sz w:val="32"/>
          <w:szCs w:val="32"/>
        </w:rPr>
        <w:t>。如：一般公共服务支出（类）财政事务（款）行政运行（项）2018年预算</w:t>
      </w:r>
      <w:r>
        <w:rPr>
          <w:rFonts w:ascii="仿宋" w:eastAsia="仿宋"/>
          <w:sz w:val="32"/>
          <w:szCs w:val="32"/>
        </w:rPr>
        <w:t>100</w:t>
      </w:r>
      <w:r>
        <w:rPr>
          <w:rFonts w:ascii="仿宋" w:eastAsia="仿宋" w:hint="eastAsia"/>
          <w:sz w:val="32"/>
          <w:szCs w:val="32"/>
        </w:rPr>
        <w:t>万元，比2017年执行数据增加</w:t>
      </w:r>
      <w:r>
        <w:rPr>
          <w:rFonts w:ascii="仿宋" w:eastAsia="仿宋"/>
          <w:sz w:val="32"/>
          <w:szCs w:val="32"/>
        </w:rPr>
        <w:t>27</w:t>
      </w:r>
      <w:r>
        <w:rPr>
          <w:rFonts w:ascii="仿宋" w:eastAsia="仿宋" w:hint="eastAsia"/>
          <w:sz w:val="32"/>
          <w:szCs w:val="32"/>
        </w:rPr>
        <w:t>万元，增长</w:t>
      </w:r>
      <w:r>
        <w:rPr>
          <w:rFonts w:ascii="仿宋" w:eastAsia="仿宋"/>
          <w:sz w:val="32"/>
          <w:szCs w:val="32"/>
        </w:rPr>
        <w:t>31</w:t>
      </w:r>
      <w:r>
        <w:rPr>
          <w:rFonts w:ascii="仿宋" w:eastAsia="仿宋" w:hint="eastAsia"/>
          <w:sz w:val="32"/>
          <w:szCs w:val="32"/>
        </w:rPr>
        <w:t>%。主要用于企业服务</w:t>
      </w:r>
      <w:r>
        <w:rPr>
          <w:rFonts w:ascii="仿宋" w:eastAsia="仿宋"/>
          <w:sz w:val="32"/>
          <w:szCs w:val="32"/>
        </w:rPr>
        <w:t>中心政务大厅</w:t>
      </w:r>
      <w:r>
        <w:rPr>
          <w:rFonts w:ascii="仿宋" w:eastAsia="仿宋" w:hint="eastAsia"/>
          <w:sz w:val="32"/>
          <w:szCs w:val="32"/>
        </w:rPr>
        <w:t>等</w:t>
      </w:r>
      <w:r>
        <w:rPr>
          <w:rFonts w:ascii="仿宋" w:eastAsia="仿宋"/>
          <w:sz w:val="32"/>
          <w:szCs w:val="32"/>
        </w:rPr>
        <w:t>费用</w:t>
      </w:r>
      <w:r>
        <w:rPr>
          <w:rFonts w:ascii="仿宋" w:eastAsia="仿宋" w:hint="eastAsia"/>
          <w:sz w:val="32"/>
          <w:szCs w:val="32"/>
        </w:rPr>
        <w:t>。</w:t>
      </w:r>
    </w:p>
    <w:p>
      <w:pPr>
        <w:ind w:firstLineChars="225" w:firstLine="720"/>
        <w:rPr>
          <w:rFonts w:ascii="黑体" w:eastAsia="黑体"/>
          <w:sz w:val="32"/>
          <w:szCs w:val="32"/>
        </w:rPr>
      </w:pPr>
      <w:r>
        <w:rPr>
          <w:rFonts w:ascii="黑体" w:eastAsia="黑体" w:hint="eastAsia"/>
          <w:sz w:val="32"/>
          <w:szCs w:val="32"/>
        </w:rPr>
        <w:t>三、关于吴忠青铜峡新材料基地管理委员会2018年“三公”经费预算情况说明</w:t>
      </w:r>
    </w:p>
    <w:p>
      <w:pPr>
        <w:ind w:firstLineChars="225" w:firstLine="720"/>
        <w:rPr>
          <w:rFonts w:ascii="仿宋" w:eastAsia="仿宋"/>
          <w:sz w:val="32"/>
          <w:szCs w:val="32"/>
        </w:rPr>
      </w:pPr>
      <w:r>
        <w:rPr>
          <w:rFonts w:ascii="仿宋" w:eastAsia="仿宋" w:hint="eastAsia"/>
          <w:sz w:val="32"/>
          <w:szCs w:val="32"/>
        </w:rPr>
        <w:t>吴忠青铜峡新材料基地管理委员会2018年“三公”经费财政拨款预算数为</w:t>
      </w:r>
      <w:r>
        <w:rPr>
          <w:rFonts w:ascii="仿宋" w:eastAsia="仿宋"/>
          <w:sz w:val="32"/>
          <w:szCs w:val="32"/>
        </w:rPr>
        <w:t>7.2</w:t>
      </w:r>
      <w:r>
        <w:rPr>
          <w:rFonts w:ascii="仿宋" w:eastAsia="仿宋" w:hint="eastAsia"/>
          <w:sz w:val="32"/>
          <w:szCs w:val="32"/>
        </w:rPr>
        <w:t>万元，其中：因公出国（境）费</w:t>
      </w:r>
      <w:r>
        <w:rPr>
          <w:rFonts w:ascii="仿宋" w:eastAsia="仿宋"/>
          <w:sz w:val="32"/>
          <w:szCs w:val="32"/>
        </w:rPr>
        <w:t>0</w:t>
      </w:r>
      <w:r>
        <w:rPr>
          <w:rFonts w:ascii="仿宋" w:eastAsia="仿宋" w:hint="eastAsia"/>
          <w:sz w:val="32"/>
          <w:szCs w:val="32"/>
        </w:rPr>
        <w:t>万元，公务用车购置</w:t>
      </w:r>
      <w:r>
        <w:rPr>
          <w:rFonts w:ascii="仿宋" w:eastAsia="仿宋"/>
          <w:sz w:val="32"/>
          <w:szCs w:val="32"/>
        </w:rPr>
        <w:t>0</w:t>
      </w:r>
      <w:r>
        <w:rPr>
          <w:rFonts w:ascii="仿宋" w:eastAsia="仿宋" w:hint="eastAsia"/>
          <w:sz w:val="32"/>
          <w:szCs w:val="32"/>
        </w:rPr>
        <w:t>万元，公务用车运行费</w:t>
      </w:r>
      <w:r>
        <w:rPr>
          <w:rFonts w:ascii="仿宋" w:eastAsia="仿宋"/>
          <w:sz w:val="32"/>
          <w:szCs w:val="32"/>
        </w:rPr>
        <w:t>6</w:t>
      </w:r>
      <w:r>
        <w:rPr>
          <w:rFonts w:ascii="仿宋" w:eastAsia="仿宋" w:hint="eastAsia"/>
          <w:sz w:val="32"/>
          <w:szCs w:val="32"/>
        </w:rPr>
        <w:t>万元，公务接待费</w:t>
      </w:r>
      <w:r>
        <w:rPr>
          <w:rFonts w:ascii="仿宋" w:eastAsia="仿宋"/>
          <w:sz w:val="32"/>
          <w:szCs w:val="32"/>
        </w:rPr>
        <w:t>1.2</w:t>
      </w:r>
      <w:r>
        <w:rPr>
          <w:rFonts w:ascii="仿宋" w:eastAsia="仿宋" w:hint="eastAsia"/>
          <w:sz w:val="32"/>
          <w:szCs w:val="32"/>
        </w:rPr>
        <w:t>万元。</w:t>
      </w:r>
    </w:p>
    <w:p>
      <w:pPr>
        <w:ind w:firstLineChars="225" w:firstLine="720"/>
        <w:rPr>
          <w:rFonts w:ascii="仿宋" w:eastAsia="仿宋"/>
          <w:sz w:val="32"/>
          <w:szCs w:val="32"/>
        </w:rPr>
      </w:pPr>
      <w:r>
        <w:rPr>
          <w:rFonts w:ascii="仿宋" w:eastAsia="仿宋" w:hint="eastAsia"/>
          <w:sz w:val="32"/>
          <w:szCs w:val="32"/>
        </w:rPr>
        <w:t>2018年“三公”经费财政拨款预算比2017年减少</w:t>
      </w:r>
      <w:r>
        <w:rPr>
          <w:rFonts w:ascii="仿宋" w:eastAsia="仿宋"/>
          <w:sz w:val="32"/>
          <w:szCs w:val="32"/>
        </w:rPr>
        <w:t>6.89</w:t>
      </w:r>
      <w:r>
        <w:rPr>
          <w:rFonts w:ascii="仿宋" w:eastAsia="仿宋" w:hint="eastAsia"/>
          <w:sz w:val="32"/>
          <w:szCs w:val="32"/>
        </w:rPr>
        <w:t>万元，其中：公务用车运行费减少</w:t>
      </w:r>
      <w:r>
        <w:rPr>
          <w:rFonts w:ascii="仿宋" w:eastAsia="仿宋"/>
          <w:sz w:val="32"/>
          <w:szCs w:val="32"/>
        </w:rPr>
        <w:t>6.86</w:t>
      </w:r>
      <w:r>
        <w:rPr>
          <w:rFonts w:ascii="仿宋" w:eastAsia="仿宋" w:hint="eastAsia"/>
          <w:sz w:val="32"/>
          <w:szCs w:val="32"/>
        </w:rPr>
        <w:t>万元，主要原因车辆减少；公务接待费减少</w:t>
      </w:r>
      <w:r>
        <w:rPr>
          <w:rFonts w:ascii="仿宋" w:eastAsia="仿宋"/>
          <w:sz w:val="32"/>
          <w:szCs w:val="32"/>
        </w:rPr>
        <w:t>0.03</w:t>
      </w:r>
      <w:r>
        <w:rPr>
          <w:rFonts w:ascii="仿宋" w:eastAsia="仿宋" w:hint="eastAsia"/>
          <w:sz w:val="32"/>
          <w:szCs w:val="32"/>
        </w:rPr>
        <w:t>万元，主要原因客商在</w:t>
      </w:r>
      <w:r>
        <w:rPr>
          <w:rFonts w:ascii="仿宋" w:eastAsia="仿宋"/>
          <w:sz w:val="32"/>
          <w:szCs w:val="32"/>
        </w:rPr>
        <w:t>单位餐厅就餐</w:t>
      </w:r>
      <w:r>
        <w:rPr>
          <w:rFonts w:ascii="仿宋" w:eastAsia="仿宋" w:hint="eastAsia"/>
          <w:sz w:val="32"/>
          <w:szCs w:val="32"/>
        </w:rPr>
        <w:t>。</w:t>
      </w:r>
    </w:p>
    <w:p>
      <w:pPr>
        <w:ind w:firstLineChars="225" w:firstLine="720"/>
        <w:rPr>
          <w:rFonts w:ascii="黑体" w:eastAsia="黑体"/>
          <w:sz w:val="32"/>
          <w:szCs w:val="32"/>
        </w:rPr>
      </w:pPr>
      <w:r>
        <w:rPr>
          <w:rFonts w:ascii="黑体" w:eastAsia="黑体" w:hint="eastAsia"/>
          <w:sz w:val="32"/>
          <w:szCs w:val="32"/>
        </w:rPr>
        <w:t>四、关于吴忠青铜峡新材料基地管理委员会2018年收支预算情况的总体说明</w:t>
      </w:r>
    </w:p>
    <w:p>
      <w:pPr>
        <w:ind w:firstLineChars="225" w:firstLine="720"/>
        <w:rPr>
          <w:rFonts w:ascii="仿宋" w:eastAsia="仿宋"/>
          <w:sz w:val="32"/>
          <w:szCs w:val="32"/>
        </w:rPr>
      </w:pPr>
      <w:r>
        <w:rPr>
          <w:rFonts w:ascii="仿宋" w:eastAsia="仿宋" w:hint="eastAsia"/>
          <w:sz w:val="32"/>
          <w:szCs w:val="32"/>
        </w:rPr>
        <w:t xml:space="preserve">按照全口径预算的原则，吴忠青铜峡新材料基地管理委员会2018年所有收入和支出均纳入部门预算管理。收入总预算   </w:t>
      </w:r>
      <w:r>
        <w:rPr>
          <w:rFonts w:ascii="仿宋" w:eastAsia="仿宋"/>
          <w:sz w:val="32"/>
          <w:szCs w:val="32"/>
        </w:rPr>
        <w:t>361.44</w:t>
      </w:r>
      <w:r>
        <w:rPr>
          <w:rFonts w:ascii="仿宋" w:eastAsia="仿宋" w:hint="eastAsia"/>
          <w:sz w:val="32"/>
          <w:szCs w:val="32"/>
        </w:rPr>
        <w:t>万元，支出总预算</w:t>
      </w:r>
      <w:r>
        <w:rPr>
          <w:rFonts w:ascii="仿宋" w:eastAsia="仿宋"/>
          <w:sz w:val="32"/>
          <w:szCs w:val="32"/>
        </w:rPr>
        <w:t>361.44</w:t>
      </w:r>
      <w:r>
        <w:rPr>
          <w:rFonts w:ascii="仿宋" w:eastAsia="仿宋" w:hint="eastAsia"/>
          <w:sz w:val="32"/>
          <w:szCs w:val="32"/>
        </w:rPr>
        <w:t>万元。</w:t>
      </w:r>
    </w:p>
    <w:p>
      <w:pPr>
        <w:ind w:firstLineChars="225" w:firstLine="720"/>
        <w:rPr>
          <w:rFonts w:ascii="仿宋" w:eastAsia="仿宋"/>
          <w:sz w:val="32"/>
          <w:szCs w:val="32"/>
        </w:rPr>
      </w:pPr>
      <w:r>
        <w:rPr>
          <w:rFonts w:ascii="仿宋" w:eastAsia="仿宋" w:hint="eastAsia"/>
          <w:sz w:val="32"/>
          <w:szCs w:val="32"/>
        </w:rPr>
        <w:t>收入预算包括：上年结转</w:t>
      </w:r>
      <w:r>
        <w:rPr>
          <w:rFonts w:ascii="仿宋" w:eastAsia="仿宋"/>
          <w:sz w:val="32"/>
          <w:szCs w:val="32"/>
        </w:rPr>
        <w:t>1203</w:t>
      </w:r>
      <w:r>
        <w:rPr>
          <w:rFonts w:ascii="仿宋" w:eastAsia="仿宋" w:hint="eastAsia"/>
          <w:sz w:val="32"/>
          <w:szCs w:val="32"/>
        </w:rPr>
        <w:t>万元；财政拨款收入</w:t>
      </w:r>
      <w:r>
        <w:rPr>
          <w:rFonts w:ascii="仿宋" w:eastAsia="仿宋"/>
          <w:sz w:val="32"/>
          <w:szCs w:val="32"/>
        </w:rPr>
        <w:t>361.44</w:t>
      </w:r>
      <w:r>
        <w:rPr>
          <w:rFonts w:ascii="仿宋" w:eastAsia="仿宋" w:hint="eastAsia"/>
          <w:sz w:val="32"/>
          <w:szCs w:val="32"/>
        </w:rPr>
        <w:t>万元。</w:t>
      </w:r>
    </w:p>
    <w:p>
      <w:pPr>
        <w:ind w:firstLineChars="225" w:firstLine="720"/>
        <w:rPr>
          <w:rFonts w:ascii="仿宋" w:eastAsia="仿宋"/>
          <w:sz w:val="32"/>
          <w:szCs w:val="32"/>
        </w:rPr>
      </w:pPr>
      <w:r>
        <w:rPr>
          <w:rFonts w:ascii="仿宋" w:eastAsia="仿宋" w:hint="eastAsia"/>
          <w:sz w:val="32"/>
          <w:szCs w:val="32"/>
        </w:rPr>
        <w:t>支出预算包括：基本支出</w:t>
      </w:r>
      <w:r>
        <w:rPr>
          <w:rFonts w:ascii="仿宋" w:eastAsia="仿宋"/>
          <w:sz w:val="32"/>
          <w:szCs w:val="32"/>
        </w:rPr>
        <w:t>261.44</w:t>
      </w:r>
      <w:r>
        <w:rPr>
          <w:rFonts w:ascii="仿宋" w:eastAsia="仿宋" w:hint="eastAsia"/>
          <w:sz w:val="32"/>
          <w:szCs w:val="32"/>
        </w:rPr>
        <w:t>万元，占</w:t>
      </w:r>
      <w:r>
        <w:rPr>
          <w:rFonts w:ascii="仿宋" w:eastAsia="仿宋"/>
          <w:sz w:val="32"/>
          <w:szCs w:val="32"/>
        </w:rPr>
        <w:t>72</w:t>
      </w:r>
      <w:r>
        <w:rPr>
          <w:rFonts w:ascii="仿宋" w:eastAsia="仿宋" w:hint="eastAsia"/>
          <w:sz w:val="32"/>
          <w:szCs w:val="32"/>
        </w:rPr>
        <w:t>%；项目支出</w:t>
      </w:r>
      <w:r>
        <w:rPr>
          <w:rFonts w:ascii="仿宋" w:eastAsia="仿宋"/>
          <w:sz w:val="32"/>
          <w:szCs w:val="32"/>
        </w:rPr>
        <w:t>100</w:t>
      </w:r>
      <w:r>
        <w:rPr>
          <w:rFonts w:ascii="仿宋" w:eastAsia="仿宋" w:hint="eastAsia"/>
          <w:sz w:val="32"/>
          <w:szCs w:val="32"/>
        </w:rPr>
        <w:t>万元，占</w:t>
      </w:r>
      <w:r>
        <w:rPr>
          <w:rFonts w:ascii="仿宋" w:eastAsia="仿宋"/>
          <w:sz w:val="32"/>
          <w:szCs w:val="32"/>
        </w:rPr>
        <w:t>28</w:t>
      </w:r>
      <w:r>
        <w:rPr>
          <w:rFonts w:ascii="仿宋" w:eastAsia="仿宋" w:hint="eastAsia"/>
          <w:sz w:val="32"/>
          <w:szCs w:val="32"/>
        </w:rPr>
        <w:t>%。</w:t>
      </w:r>
    </w:p>
    <w:p>
      <w:pPr>
        <w:ind w:firstLineChars="225" w:firstLine="720"/>
        <w:rPr>
          <w:rFonts w:ascii="黑体" w:eastAsia="黑体"/>
          <w:sz w:val="32"/>
          <w:szCs w:val="32"/>
        </w:rPr>
      </w:pPr>
      <w:r>
        <w:rPr>
          <w:rFonts w:ascii="黑体" w:eastAsia="黑体" w:hint="eastAsia"/>
          <w:sz w:val="32"/>
          <w:szCs w:val="32"/>
        </w:rPr>
        <w:t>五、其他重要事项的情况说明</w:t>
      </w:r>
    </w:p>
    <w:p>
      <w:pPr>
        <w:widowControl/>
        <w:spacing w:line="560" w:lineRule="exact"/>
        <w:ind w:firstLine="480"/>
        <w:jc w:val="left"/>
        <w:rPr>
          <w:rFonts w:ascii="楷体" w:eastAsia="楷体" w:cs="宋体"/>
          <w:b/>
          <w:kern w:val="0"/>
          <w:sz w:val="32"/>
          <w:szCs w:val="32"/>
        </w:rPr>
      </w:pPr>
      <w:r>
        <w:rPr>
          <w:rFonts w:ascii="仿宋" w:eastAsia="仿宋" w:hint="eastAsia"/>
        </w:rPr>
        <w:t xml:space="preserve">  </w:t>
      </w:r>
      <w:r>
        <w:rPr>
          <w:rFonts w:ascii="楷体" w:eastAsia="楷体" w:cs="宋体" w:hint="eastAsia"/>
          <w:b/>
          <w:kern w:val="0"/>
          <w:sz w:val="32"/>
          <w:szCs w:val="32"/>
        </w:rPr>
        <w:t>（一）机关运行经费</w:t>
      </w:r>
    </w:p>
    <w:p>
      <w:pPr>
        <w:widowControl/>
        <w:spacing w:line="560" w:lineRule="exact"/>
        <w:ind w:firstLine="480"/>
        <w:jc w:val="left"/>
        <w:rPr>
          <w:rFonts w:ascii="仿宋" w:eastAsia="仿宋" w:cs="宋体"/>
          <w:kern w:val="0"/>
          <w:sz w:val="32"/>
          <w:szCs w:val="32"/>
        </w:rPr>
      </w:pPr>
      <w:r>
        <w:rPr>
          <w:rFonts w:ascii="仿宋" w:eastAsia="仿宋" w:cs="宋体" w:hint="eastAsia"/>
          <w:kern w:val="0"/>
          <w:sz w:val="32"/>
          <w:szCs w:val="32"/>
        </w:rPr>
        <w:t>2018年，吴忠青铜峡新材料基地管理委员会本级单位，</w:t>
      </w:r>
      <w:r>
        <w:rPr>
          <w:rFonts w:ascii="仿宋" w:eastAsia="仿宋" w:cs="宋体"/>
          <w:kern w:val="0"/>
          <w:sz w:val="32"/>
          <w:szCs w:val="32"/>
        </w:rPr>
        <w:t>是</w:t>
      </w:r>
      <w:r>
        <w:rPr>
          <w:rFonts w:ascii="仿宋" w:eastAsia="仿宋" w:cs="宋体" w:hint="eastAsia"/>
          <w:kern w:val="0"/>
          <w:sz w:val="32"/>
          <w:szCs w:val="32"/>
        </w:rPr>
        <w:t>事业单位，机关运行经费财政拨款预算</w:t>
      </w:r>
      <w:r>
        <w:rPr>
          <w:rFonts w:ascii="仿宋" w:eastAsia="仿宋" w:cs="宋体"/>
          <w:kern w:val="0"/>
          <w:sz w:val="32"/>
          <w:szCs w:val="32"/>
        </w:rPr>
        <w:t>23.35</w:t>
      </w:r>
      <w:r>
        <w:rPr>
          <w:rFonts w:ascii="仿宋" w:eastAsia="仿宋" w:cs="宋体" w:hint="eastAsia"/>
          <w:kern w:val="0"/>
          <w:sz w:val="32"/>
          <w:szCs w:val="32"/>
        </w:rPr>
        <w:t>万元，比2017年预算增加</w:t>
      </w:r>
      <w:r>
        <w:rPr>
          <w:rFonts w:ascii="仿宋" w:eastAsia="仿宋" w:cs="宋体"/>
          <w:kern w:val="0"/>
          <w:sz w:val="32"/>
          <w:szCs w:val="32"/>
        </w:rPr>
        <w:t>1.75</w:t>
      </w:r>
      <w:r>
        <w:rPr>
          <w:rFonts w:ascii="仿宋" w:eastAsia="仿宋" w:cs="宋体" w:hint="eastAsia"/>
          <w:kern w:val="0"/>
          <w:sz w:val="32"/>
          <w:szCs w:val="32"/>
        </w:rPr>
        <w:t>万元，增长8</w:t>
      </w:r>
      <w:r>
        <w:rPr>
          <w:rFonts w:ascii="仿宋" w:eastAsia="仿宋" w:cs="宋体"/>
          <w:kern w:val="0"/>
          <w:sz w:val="32"/>
          <w:szCs w:val="32"/>
        </w:rPr>
        <w:t>.1</w:t>
      </w:r>
      <w:r>
        <w:rPr>
          <w:rFonts w:ascii="仿宋" w:eastAsia="仿宋" w:cs="宋体" w:hint="eastAsia"/>
          <w:kern w:val="0"/>
          <w:sz w:val="32"/>
          <w:szCs w:val="32"/>
        </w:rPr>
        <w:t xml:space="preserve"> %。</w:t>
      </w:r>
    </w:p>
    <w:p>
      <w:pPr>
        <w:widowControl/>
        <w:spacing w:line="560" w:lineRule="exact"/>
        <w:ind w:firstLine="480"/>
        <w:jc w:val="left"/>
        <w:rPr>
          <w:rFonts w:ascii="楷体" w:eastAsia="楷体" w:cs="宋体"/>
          <w:b/>
          <w:kern w:val="0"/>
          <w:sz w:val="32"/>
          <w:szCs w:val="32"/>
        </w:rPr>
      </w:pPr>
      <w:r>
        <w:rPr>
          <w:rFonts w:ascii="楷体" w:eastAsia="楷体" w:cs="宋体" w:hint="eastAsia"/>
          <w:b/>
          <w:kern w:val="0"/>
          <w:sz w:val="32"/>
          <w:szCs w:val="32"/>
        </w:rPr>
        <w:t>（二）政府采购情况</w:t>
      </w:r>
    </w:p>
    <w:p>
      <w:pPr>
        <w:widowControl/>
        <w:spacing w:line="560" w:lineRule="exact"/>
        <w:ind w:firstLine="480"/>
        <w:jc w:val="left"/>
        <w:rPr>
          <w:rFonts w:ascii="仿宋" w:eastAsia="仿宋" w:cs="宋体"/>
          <w:kern w:val="0"/>
          <w:sz w:val="32"/>
          <w:szCs w:val="32"/>
        </w:rPr>
      </w:pPr>
      <w:r>
        <w:rPr>
          <w:rFonts w:ascii="仿宋" w:eastAsia="仿宋" w:cs="宋体" w:hint="eastAsia"/>
          <w:kern w:val="0"/>
          <w:sz w:val="32"/>
          <w:szCs w:val="32"/>
        </w:rPr>
        <w:t>2018年，吴忠青铜峡新材料基地管理委员会本级单位</w:t>
      </w:r>
      <w:r>
        <w:rPr>
          <w:rFonts w:ascii="仿宋" w:eastAsia="仿宋" w:cs="宋体"/>
          <w:kern w:val="0"/>
          <w:sz w:val="32"/>
          <w:szCs w:val="32"/>
        </w:rPr>
        <w:t>未安排</w:t>
      </w:r>
      <w:r>
        <w:rPr>
          <w:rFonts w:ascii="仿宋" w:eastAsia="仿宋" w:cs="宋体" w:hint="eastAsia"/>
          <w:kern w:val="0"/>
          <w:sz w:val="32"/>
          <w:szCs w:val="32"/>
        </w:rPr>
        <w:t xml:space="preserve">政府采购预算，其中：政府采购货物预算 </w:t>
      </w:r>
      <w:r>
        <w:rPr>
          <w:rFonts w:ascii="仿宋" w:eastAsia="仿宋" w:cs="宋体"/>
          <w:kern w:val="0"/>
          <w:sz w:val="32"/>
          <w:szCs w:val="32"/>
        </w:rPr>
        <w:t>0</w:t>
      </w:r>
      <w:r>
        <w:rPr>
          <w:rFonts w:ascii="仿宋" w:eastAsia="仿宋" w:cs="宋体" w:hint="eastAsia"/>
          <w:kern w:val="0"/>
          <w:sz w:val="32"/>
          <w:szCs w:val="32"/>
        </w:rPr>
        <w:t xml:space="preserve">万元，政府采购工程预算 </w:t>
      </w:r>
      <w:r>
        <w:rPr>
          <w:rFonts w:ascii="仿宋" w:eastAsia="仿宋" w:cs="宋体"/>
          <w:kern w:val="0"/>
          <w:sz w:val="32"/>
          <w:szCs w:val="32"/>
        </w:rPr>
        <w:t>0</w:t>
      </w:r>
      <w:r>
        <w:rPr>
          <w:rFonts w:ascii="仿宋" w:eastAsia="仿宋" w:cs="宋体" w:hint="eastAsia"/>
          <w:kern w:val="0"/>
          <w:sz w:val="32"/>
          <w:szCs w:val="32"/>
        </w:rPr>
        <w:t xml:space="preserve">万元，政府采购服务预算 </w:t>
      </w:r>
      <w:r>
        <w:rPr>
          <w:rFonts w:ascii="仿宋" w:eastAsia="仿宋" w:cs="宋体"/>
          <w:kern w:val="0"/>
          <w:sz w:val="32"/>
          <w:szCs w:val="32"/>
        </w:rPr>
        <w:t>0</w:t>
      </w:r>
      <w:r>
        <w:rPr>
          <w:rFonts w:ascii="仿宋" w:eastAsia="仿宋" w:cs="宋体" w:hint="eastAsia"/>
          <w:kern w:val="0"/>
          <w:sz w:val="32"/>
          <w:szCs w:val="32"/>
        </w:rPr>
        <w:t xml:space="preserve"> 万元。</w:t>
      </w:r>
    </w:p>
    <w:p>
      <w:pPr>
        <w:widowControl/>
        <w:spacing w:line="560" w:lineRule="exact"/>
        <w:ind w:firstLine="480"/>
        <w:jc w:val="left"/>
        <w:rPr>
          <w:rFonts w:ascii="楷体" w:eastAsia="楷体" w:cs="宋体"/>
          <w:b/>
          <w:kern w:val="0"/>
          <w:sz w:val="32"/>
          <w:szCs w:val="32"/>
        </w:rPr>
      </w:pPr>
      <w:r>
        <w:rPr>
          <w:rFonts w:ascii="楷体" w:eastAsia="楷体" w:cs="宋体" w:hint="eastAsia"/>
          <w:b/>
          <w:kern w:val="0"/>
          <w:sz w:val="32"/>
          <w:szCs w:val="32"/>
        </w:rPr>
        <w:t>（</w:t>
      </w:r>
      <w:r>
        <w:rPr>
          <w:rFonts w:ascii="楷体" w:eastAsia="楷体" w:cs="宋体"/>
          <w:b/>
          <w:kern w:val="0"/>
          <w:sz w:val="32"/>
          <w:szCs w:val="32"/>
        </w:rPr>
        <w:t>三</w:t>
      </w:r>
      <w:r>
        <w:rPr>
          <w:rFonts w:ascii="楷体" w:eastAsia="楷体" w:cs="宋体" w:hint="eastAsia"/>
          <w:b/>
          <w:kern w:val="0"/>
          <w:sz w:val="32"/>
          <w:szCs w:val="32"/>
        </w:rPr>
        <w:t>）国有资产占用使用情况</w:t>
      </w:r>
    </w:p>
    <w:p>
      <w:pPr>
        <w:widowControl/>
        <w:spacing w:line="560" w:lineRule="exact"/>
        <w:ind w:firstLine="480"/>
        <w:jc w:val="left"/>
        <w:rPr>
          <w:rFonts w:ascii="仿宋" w:eastAsia="仿宋" w:cs="宋体"/>
          <w:kern w:val="0"/>
          <w:sz w:val="32"/>
          <w:szCs w:val="32"/>
        </w:rPr>
      </w:pPr>
      <w:r>
        <w:rPr>
          <w:rFonts w:ascii="仿宋" w:eastAsia="仿宋" w:cs="宋体" w:hint="eastAsia"/>
          <w:kern w:val="0"/>
          <w:sz w:val="32"/>
          <w:szCs w:val="32"/>
        </w:rPr>
        <w:t>截至2017年12月31日，吴忠青铜峡新材料基地管理委员会占用使用国有资产总体情况为房屋</w:t>
      </w:r>
      <w:r>
        <w:rPr>
          <w:rFonts w:ascii="仿宋" w:eastAsia="仿宋" w:cs="宋体"/>
          <w:kern w:val="0"/>
          <w:sz w:val="32"/>
          <w:szCs w:val="32"/>
        </w:rPr>
        <w:t>5000</w:t>
      </w:r>
      <w:r>
        <w:rPr>
          <w:rFonts w:ascii="仿宋" w:eastAsia="仿宋" w:cs="宋体" w:hint="eastAsia"/>
          <w:kern w:val="0"/>
          <w:sz w:val="32"/>
          <w:szCs w:val="32"/>
        </w:rPr>
        <w:t>平方米，价值</w:t>
      </w:r>
      <w:r>
        <w:rPr>
          <w:rFonts w:ascii="仿宋" w:eastAsia="仿宋" w:cs="宋体"/>
          <w:kern w:val="0"/>
          <w:sz w:val="32"/>
          <w:szCs w:val="32"/>
        </w:rPr>
        <w:t>1260</w:t>
      </w:r>
      <w:r>
        <w:rPr>
          <w:rFonts w:ascii="仿宋" w:eastAsia="仿宋" w:cs="宋体" w:hint="eastAsia"/>
          <w:kern w:val="0"/>
          <w:sz w:val="32"/>
          <w:szCs w:val="32"/>
        </w:rPr>
        <w:t>万元；土地</w:t>
      </w:r>
      <w:r>
        <w:rPr>
          <w:rFonts w:ascii="仿宋" w:eastAsia="仿宋" w:cs="宋体"/>
          <w:kern w:val="0"/>
          <w:sz w:val="32"/>
          <w:szCs w:val="32"/>
        </w:rPr>
        <w:t>2500</w:t>
      </w:r>
      <w:r>
        <w:rPr>
          <w:rFonts w:ascii="仿宋" w:eastAsia="仿宋" w:cs="宋体" w:hint="eastAsia"/>
          <w:kern w:val="0"/>
          <w:sz w:val="32"/>
          <w:szCs w:val="32"/>
        </w:rPr>
        <w:t xml:space="preserve">平方米，价值 </w:t>
      </w:r>
      <w:r>
        <w:rPr>
          <w:rFonts w:ascii="仿宋" w:eastAsia="仿宋" w:cs="宋体"/>
          <w:kern w:val="0"/>
          <w:sz w:val="32"/>
          <w:szCs w:val="32"/>
        </w:rPr>
        <w:t>0</w:t>
      </w:r>
      <w:r>
        <w:rPr>
          <w:rFonts w:ascii="仿宋" w:eastAsia="仿宋" w:cs="宋体" w:hint="eastAsia"/>
          <w:kern w:val="0"/>
          <w:sz w:val="32"/>
          <w:szCs w:val="32"/>
        </w:rPr>
        <w:t xml:space="preserve">万元；车辆 </w:t>
      </w:r>
      <w:r>
        <w:rPr>
          <w:rFonts w:ascii="仿宋" w:eastAsia="仿宋" w:cs="宋体"/>
          <w:kern w:val="0"/>
          <w:sz w:val="32"/>
          <w:szCs w:val="32"/>
        </w:rPr>
        <w:t>4</w:t>
      </w:r>
      <w:r>
        <w:rPr>
          <w:rFonts w:ascii="仿宋" w:eastAsia="仿宋" w:cs="宋体" w:hint="eastAsia"/>
          <w:kern w:val="0"/>
          <w:sz w:val="32"/>
          <w:szCs w:val="32"/>
        </w:rPr>
        <w:t>辆，价值</w:t>
      </w:r>
      <w:r>
        <w:rPr>
          <w:rFonts w:ascii="仿宋" w:eastAsia="仿宋" w:cs="宋体"/>
          <w:kern w:val="0"/>
          <w:sz w:val="32"/>
          <w:szCs w:val="32"/>
        </w:rPr>
        <w:t>56.14</w:t>
      </w:r>
      <w:r>
        <w:rPr>
          <w:rFonts w:ascii="仿宋" w:eastAsia="仿宋" w:cs="宋体" w:hint="eastAsia"/>
          <w:kern w:val="0"/>
          <w:sz w:val="32"/>
          <w:szCs w:val="32"/>
        </w:rPr>
        <w:t>万元；办公家具价值</w:t>
      </w:r>
      <w:r>
        <w:rPr>
          <w:rFonts w:ascii="仿宋" w:eastAsia="仿宋" w:cs="宋体"/>
          <w:kern w:val="0"/>
          <w:sz w:val="32"/>
          <w:szCs w:val="32"/>
        </w:rPr>
        <w:t>22.69</w:t>
      </w:r>
      <w:r>
        <w:rPr>
          <w:rFonts w:ascii="仿宋" w:eastAsia="仿宋" w:cs="宋体" w:hint="eastAsia"/>
          <w:kern w:val="0"/>
          <w:sz w:val="32"/>
          <w:szCs w:val="32"/>
        </w:rPr>
        <w:t>万元；其他资产价值</w:t>
      </w:r>
      <w:r>
        <w:rPr>
          <w:rFonts w:ascii="仿宋" w:eastAsia="仿宋" w:cs="宋体"/>
          <w:kern w:val="0"/>
          <w:sz w:val="32"/>
          <w:szCs w:val="32"/>
        </w:rPr>
        <w:t>1.37</w:t>
      </w:r>
      <w:r>
        <w:rPr>
          <w:rFonts w:ascii="仿宋" w:eastAsia="仿宋" w:cs="宋体" w:hint="eastAsia"/>
          <w:kern w:val="0"/>
          <w:sz w:val="32"/>
          <w:szCs w:val="32"/>
        </w:rPr>
        <w:t>万元。国有资产分布情况为：</w:t>
      </w:r>
    </w:p>
    <w:p>
      <w:pPr>
        <w:widowControl/>
        <w:spacing w:line="560" w:lineRule="exact"/>
        <w:ind w:firstLine="480"/>
        <w:jc w:val="left"/>
        <w:rPr>
          <w:rFonts w:ascii="仿宋" w:eastAsia="仿宋" w:cs="宋体"/>
          <w:kern w:val="0"/>
          <w:sz w:val="32"/>
          <w:szCs w:val="32"/>
        </w:rPr>
      </w:pPr>
      <w:r>
        <w:rPr>
          <w:rFonts w:ascii="仿宋" w:eastAsia="仿宋" w:cs="宋体" w:hint="eastAsia"/>
          <w:kern w:val="0"/>
          <w:sz w:val="32"/>
          <w:szCs w:val="32"/>
        </w:rPr>
        <w:t xml:space="preserve">本级部门房屋 </w:t>
      </w:r>
      <w:r>
        <w:rPr>
          <w:rFonts w:ascii="仿宋" w:eastAsia="仿宋" w:cs="宋体"/>
          <w:kern w:val="0"/>
          <w:sz w:val="32"/>
          <w:szCs w:val="32"/>
        </w:rPr>
        <w:t>5000</w:t>
      </w:r>
      <w:r>
        <w:rPr>
          <w:rFonts w:ascii="仿宋" w:eastAsia="仿宋" w:cs="宋体" w:hint="eastAsia"/>
          <w:kern w:val="0"/>
          <w:sz w:val="32"/>
          <w:szCs w:val="32"/>
        </w:rPr>
        <w:t>平方米，价值</w:t>
      </w:r>
      <w:r>
        <w:rPr>
          <w:rFonts w:ascii="仿宋" w:eastAsia="仿宋" w:cs="宋体"/>
          <w:kern w:val="0"/>
          <w:sz w:val="32"/>
          <w:szCs w:val="32"/>
        </w:rPr>
        <w:t>1260</w:t>
      </w:r>
      <w:r>
        <w:rPr>
          <w:rFonts w:ascii="仿宋" w:eastAsia="仿宋" w:cs="宋体" w:hint="eastAsia"/>
          <w:kern w:val="0"/>
          <w:sz w:val="32"/>
          <w:szCs w:val="32"/>
        </w:rPr>
        <w:t>万元；土地</w:t>
      </w:r>
      <w:r>
        <w:rPr>
          <w:rFonts w:ascii="仿宋" w:eastAsia="仿宋" w:cs="宋体"/>
          <w:kern w:val="0"/>
          <w:sz w:val="32"/>
          <w:szCs w:val="32"/>
        </w:rPr>
        <w:t>2500</w:t>
      </w:r>
      <w:r>
        <w:rPr>
          <w:rFonts w:ascii="仿宋" w:eastAsia="仿宋" w:cs="宋体" w:hint="eastAsia"/>
          <w:kern w:val="0"/>
          <w:sz w:val="32"/>
          <w:szCs w:val="32"/>
        </w:rPr>
        <w:t xml:space="preserve">平方米，价值 </w:t>
      </w:r>
      <w:r>
        <w:rPr>
          <w:rFonts w:ascii="仿宋" w:eastAsia="仿宋" w:cs="宋体"/>
          <w:kern w:val="0"/>
          <w:sz w:val="32"/>
          <w:szCs w:val="32"/>
        </w:rPr>
        <w:t>0</w:t>
      </w:r>
      <w:r>
        <w:rPr>
          <w:rFonts w:ascii="仿宋" w:eastAsia="仿宋" w:cs="宋体" w:hint="eastAsia"/>
          <w:kern w:val="0"/>
          <w:sz w:val="32"/>
          <w:szCs w:val="32"/>
        </w:rPr>
        <w:t>万元；车辆</w:t>
      </w:r>
      <w:r>
        <w:rPr>
          <w:rFonts w:ascii="仿宋" w:eastAsia="仿宋" w:cs="宋体"/>
          <w:kern w:val="0"/>
          <w:sz w:val="32"/>
          <w:szCs w:val="32"/>
        </w:rPr>
        <w:t>4</w:t>
      </w:r>
      <w:r>
        <w:rPr>
          <w:rFonts w:ascii="仿宋" w:eastAsia="仿宋" w:cs="宋体" w:hint="eastAsia"/>
          <w:kern w:val="0"/>
          <w:sz w:val="32"/>
          <w:szCs w:val="32"/>
        </w:rPr>
        <w:t xml:space="preserve">辆，价值 </w:t>
      </w:r>
      <w:r>
        <w:rPr>
          <w:rFonts w:ascii="仿宋" w:eastAsia="仿宋" w:cs="宋体"/>
          <w:kern w:val="0"/>
          <w:sz w:val="32"/>
          <w:szCs w:val="32"/>
        </w:rPr>
        <w:t>56.14</w:t>
      </w:r>
      <w:r>
        <w:rPr>
          <w:rFonts w:ascii="仿宋" w:eastAsia="仿宋" w:cs="宋体" w:hint="eastAsia"/>
          <w:kern w:val="0"/>
          <w:sz w:val="32"/>
          <w:szCs w:val="32"/>
        </w:rPr>
        <w:t xml:space="preserve"> 万元；办公家具价值 </w:t>
      </w:r>
      <w:r>
        <w:rPr>
          <w:rFonts w:ascii="仿宋" w:eastAsia="仿宋" w:cs="宋体"/>
          <w:kern w:val="0"/>
          <w:sz w:val="32"/>
          <w:szCs w:val="32"/>
        </w:rPr>
        <w:t>22.69</w:t>
      </w:r>
      <w:r>
        <w:rPr>
          <w:rFonts w:ascii="仿宋" w:eastAsia="仿宋" w:cs="宋体" w:hint="eastAsia"/>
          <w:kern w:val="0"/>
          <w:sz w:val="32"/>
          <w:szCs w:val="32"/>
        </w:rPr>
        <w:t>万元；其他资产价值</w:t>
      </w:r>
      <w:r>
        <w:rPr>
          <w:rFonts w:ascii="仿宋" w:eastAsia="仿宋" w:cs="宋体"/>
          <w:kern w:val="0"/>
          <w:sz w:val="32"/>
          <w:szCs w:val="32"/>
        </w:rPr>
        <w:t>1.37</w:t>
      </w:r>
      <w:r>
        <w:rPr>
          <w:rFonts w:ascii="仿宋" w:eastAsia="仿宋" w:cs="宋体" w:hint="eastAsia"/>
          <w:kern w:val="0"/>
          <w:sz w:val="32"/>
          <w:szCs w:val="32"/>
        </w:rPr>
        <w:t>万元。</w:t>
      </w:r>
    </w:p>
    <w:p>
      <w:pPr>
        <w:widowControl/>
        <w:spacing w:line="560" w:lineRule="exact"/>
        <w:ind w:firstLine="480"/>
        <w:jc w:val="left"/>
        <w:rPr>
          <w:rFonts w:ascii="仿宋" w:eastAsia="仿宋" w:cs="宋体"/>
          <w:kern w:val="0"/>
          <w:sz w:val="32"/>
          <w:szCs w:val="32"/>
        </w:rPr>
      </w:pPr>
      <w:r>
        <w:rPr>
          <w:rFonts w:ascii="仿宋" w:eastAsia="仿宋" w:cs="宋体" w:hint="eastAsia"/>
          <w:kern w:val="0"/>
          <w:sz w:val="32"/>
          <w:szCs w:val="32"/>
        </w:rPr>
        <w:t>所属单位房屋    平方米，价值    万元；土地    平方米，价值    万元；车辆    辆，价值   万元；办公家具价值   万元；其他资产价值   万元。</w:t>
      </w:r>
    </w:p>
    <w:p>
      <w:pPr>
        <w:widowControl/>
        <w:spacing w:line="560" w:lineRule="exact"/>
        <w:ind w:firstLine="480"/>
        <w:jc w:val="left"/>
        <w:rPr>
          <w:rFonts w:ascii="楷体" w:eastAsia="楷体" w:cs="宋体"/>
          <w:b/>
          <w:kern w:val="0"/>
          <w:sz w:val="32"/>
          <w:szCs w:val="32"/>
        </w:rPr>
      </w:pPr>
      <w:r>
        <w:rPr>
          <w:rFonts w:ascii="楷体" w:eastAsia="楷体" w:cs="宋体" w:hint="eastAsia"/>
          <w:b/>
          <w:kern w:val="0"/>
          <w:sz w:val="32"/>
          <w:szCs w:val="32"/>
        </w:rPr>
        <w:t>（四）预算绩效情况</w:t>
      </w:r>
    </w:p>
    <w:p>
      <w:pPr>
        <w:widowControl/>
        <w:spacing w:line="560" w:lineRule="exact"/>
        <w:ind w:firstLine="480"/>
        <w:jc w:val="left"/>
        <w:rPr>
          <w:rFonts w:ascii="仿宋" w:eastAsia="仿宋" w:cs="宋体"/>
          <w:kern w:val="0"/>
          <w:sz w:val="32"/>
          <w:szCs w:val="32"/>
        </w:rPr>
      </w:pPr>
      <w:r>
        <w:rPr>
          <w:rFonts w:ascii="仿宋" w:eastAsia="仿宋" w:cs="宋体" w:hint="eastAsia"/>
          <w:kern w:val="0"/>
          <w:sz w:val="32"/>
          <w:szCs w:val="32"/>
        </w:rPr>
        <w:t>2018年吴忠青铜峡新材料基地管理委员会无重点项目绩效评价</w:t>
      </w:r>
    </w:p>
    <w:p>
      <w:pPr>
        <w:widowControl/>
        <w:spacing w:line="560" w:lineRule="exact"/>
        <w:ind w:firstLineChars="199" w:firstLine="636"/>
        <w:jc w:val="left"/>
        <w:rPr>
          <w:rFonts w:ascii="楷体" w:eastAsia="楷体" w:cs="宋体"/>
          <w:b/>
          <w:kern w:val="0"/>
          <w:sz w:val="32"/>
          <w:szCs w:val="32"/>
        </w:rPr>
      </w:pPr>
      <w:r>
        <w:rPr>
          <w:rFonts w:ascii="楷体" w:eastAsia="楷体" w:cs="宋体" w:hint="eastAsia"/>
          <w:b/>
          <w:kern w:val="0"/>
          <w:sz w:val="32"/>
          <w:szCs w:val="32"/>
        </w:rPr>
        <w:t>(五)专项转移支付项目申报情况</w:t>
      </w:r>
    </w:p>
    <w:p>
      <w:pPr>
        <w:widowControl/>
        <w:spacing w:line="560" w:lineRule="exact"/>
        <w:ind w:firstLine="480"/>
        <w:jc w:val="left"/>
        <w:rPr>
          <w:rFonts w:ascii="仿宋" w:eastAsia="仿宋" w:cs="宋体" w:hint="eastAsia"/>
          <w:kern w:val="0"/>
          <w:sz w:val="32"/>
          <w:szCs w:val="32"/>
        </w:rPr>
      </w:pPr>
      <w:r>
        <w:rPr>
          <w:rFonts w:ascii="仿宋" w:eastAsia="仿宋" w:cs="宋体" w:hint="eastAsia"/>
          <w:kern w:val="0"/>
          <w:sz w:val="32"/>
          <w:szCs w:val="32"/>
        </w:rPr>
        <w:t>吴忠青铜峡新材料基地管理委员会未安排专项转移支付</w:t>
      </w:r>
    </w:p>
    <w:p>
      <w:pPr>
        <w:widowControl/>
        <w:spacing w:line="560" w:lineRule="exact"/>
        <w:ind w:firstLine="480"/>
        <w:jc w:val="left"/>
        <w:rPr>
          <w:rFonts w:ascii="楷体" w:eastAsia="楷体" w:cs="宋体"/>
          <w:b/>
          <w:kern w:val="0"/>
          <w:sz w:val="32"/>
          <w:szCs w:val="32"/>
        </w:rPr>
      </w:pPr>
      <w:r>
        <w:rPr>
          <w:rFonts w:ascii="楷体" w:eastAsia="楷体" w:cs="宋体" w:hint="eastAsia"/>
          <w:b/>
          <w:kern w:val="0"/>
          <w:sz w:val="32"/>
          <w:szCs w:val="32"/>
        </w:rPr>
        <w:t>（六）其他需说明的事项</w:t>
      </w:r>
    </w:p>
    <w:p>
      <w:pPr>
        <w:widowControl/>
        <w:spacing w:line="560" w:lineRule="exact"/>
        <w:ind w:firstLine="480"/>
        <w:jc w:val="left"/>
        <w:rPr>
          <w:rFonts w:ascii="仿宋" w:eastAsia="仿宋" w:cs="宋体"/>
          <w:kern w:val="0"/>
          <w:sz w:val="32"/>
          <w:szCs w:val="32"/>
        </w:rPr>
      </w:pPr>
      <w:r>
        <w:rPr>
          <w:rFonts w:ascii="仿宋" w:eastAsia="仿宋" w:cs="宋体" w:hint="eastAsia"/>
          <w:kern w:val="0"/>
          <w:sz w:val="32"/>
          <w:szCs w:val="32"/>
        </w:rPr>
        <w:t>无</w:t>
      </w:r>
    </w:p>
    <w:p>
      <w:pPr>
        <w:widowControl/>
        <w:spacing w:line="560" w:lineRule="exact"/>
        <w:ind w:firstLine="480"/>
        <w:jc w:val="left"/>
        <w:rPr>
          <w:rFonts w:ascii="黑体" w:eastAsia="黑体"/>
          <w:sz w:val="32"/>
          <w:szCs w:val="32"/>
        </w:rPr>
      </w:pPr>
      <w:r>
        <w:rPr>
          <w:rFonts w:ascii="黑体" w:eastAsia="黑体" w:hint="eastAsia"/>
          <w:sz w:val="32"/>
          <w:szCs w:val="32"/>
        </w:rPr>
        <w:t>****2018年部门预算</w:t>
      </w:r>
      <w:r>
        <w:rPr>
          <w:rFonts w:ascii="黑体" w:eastAsia="黑体"/>
          <w:sz w:val="32"/>
          <w:szCs w:val="32"/>
        </w:rPr>
        <w:t>—</w:t>
      </w:r>
      <w:r>
        <w:rPr>
          <w:rFonts w:ascii="黑体" w:eastAsia="黑体" w:hint="eastAsia"/>
          <w:sz w:val="32"/>
          <w:szCs w:val="32"/>
        </w:rPr>
        <w:t>名词解释</w:t>
      </w:r>
    </w:p>
    <w:p>
      <w:pPr>
        <w:rPr>
          <w:rFonts w:ascii="仿宋" w:eastAsia="仿宋"/>
          <w:sz w:val="32"/>
          <w:szCs w:val="32"/>
        </w:rPr>
      </w:pPr>
      <w:r>
        <w:rPr>
          <w:rFonts w:ascii="仿宋" w:eastAsia="仿宋"/>
        </w:rPr>
        <w:t xml:space="preserve"> </w:t>
      </w:r>
      <w:r>
        <w:rPr>
          <w:rFonts w:ascii="仿宋" w:eastAsia="仿宋" w:hint="eastAsia"/>
        </w:rPr>
        <w:t xml:space="preserve">    </w:t>
      </w:r>
      <w:r>
        <w:rPr>
          <w:rFonts w:ascii="仿宋" w:eastAsia="仿宋" w:hint="eastAsia"/>
          <w:sz w:val="32"/>
          <w:szCs w:val="32"/>
        </w:rPr>
        <w:t>1、</w:t>
      </w:r>
      <w:r>
        <w:rPr>
          <w:rFonts w:ascii="仿宋" w:eastAsia="仿宋" w:hint="eastAsia"/>
          <w:b/>
          <w:sz w:val="32"/>
          <w:szCs w:val="32"/>
        </w:rPr>
        <w:t>财政拨款收入</w:t>
      </w:r>
      <w:r>
        <w:rPr>
          <w:rFonts w:ascii="仿宋" w:eastAsia="仿宋" w:hint="eastAsia"/>
          <w:sz w:val="32"/>
          <w:szCs w:val="32"/>
        </w:rPr>
        <w:t>：指市级财政当年拨付的资金</w:t>
      </w:r>
    </w:p>
    <w:p>
      <w:pPr>
        <w:ind w:firstLineChars="200" w:firstLine="640"/>
        <w:rPr>
          <w:rFonts w:ascii="仿宋" w:eastAsia="仿宋"/>
          <w:sz w:val="32"/>
          <w:szCs w:val="32"/>
        </w:rPr>
      </w:pPr>
      <w:r>
        <w:rPr>
          <w:rFonts w:ascii="仿宋" w:eastAsia="仿宋" w:hint="eastAsia"/>
          <w:sz w:val="32"/>
          <w:szCs w:val="32"/>
        </w:rPr>
        <w:t>2、</w:t>
      </w:r>
      <w:r>
        <w:rPr>
          <w:rFonts w:ascii="仿宋" w:eastAsia="仿宋" w:hint="eastAsia"/>
          <w:b/>
          <w:sz w:val="32"/>
          <w:szCs w:val="32"/>
        </w:rPr>
        <w:t>其他收入</w:t>
      </w:r>
      <w:r>
        <w:rPr>
          <w:rFonts w:ascii="仿宋" w:eastAsia="仿宋" w:hint="eastAsia"/>
          <w:sz w:val="32"/>
          <w:szCs w:val="32"/>
        </w:rPr>
        <w:t>：指除上述“财政拨款收入”、“上级补助收入”、“事业收入”、“经营收入”、“附属单位上缴收入”等以外的收入。</w:t>
      </w:r>
    </w:p>
    <w:p>
      <w:pPr>
        <w:ind w:firstLineChars="150" w:firstLine="480"/>
        <w:rPr>
          <w:rFonts w:ascii="仿宋" w:eastAsia="仿宋"/>
          <w:sz w:val="32"/>
          <w:szCs w:val="32"/>
        </w:rPr>
      </w:pPr>
      <w:r>
        <w:rPr>
          <w:rFonts w:ascii="仿宋" w:eastAsia="仿宋" w:hint="eastAsia"/>
          <w:sz w:val="32"/>
          <w:szCs w:val="32"/>
        </w:rPr>
        <w:t>3、</w:t>
      </w:r>
      <w:r>
        <w:rPr>
          <w:rFonts w:ascii="仿宋" w:eastAsia="仿宋" w:hint="eastAsia"/>
          <w:b/>
          <w:sz w:val="32"/>
          <w:szCs w:val="32"/>
        </w:rPr>
        <w:t>上年结转和结余</w:t>
      </w:r>
      <w:r>
        <w:rPr>
          <w:rFonts w:ascii="仿宋" w:eastAsia="仿宋" w:hint="eastAsia"/>
          <w:sz w:val="32"/>
          <w:szCs w:val="32"/>
        </w:rPr>
        <w:t>：指以前年度尚未完成、结转到本年按有关规定继续使用的资金。</w:t>
      </w:r>
    </w:p>
    <w:p>
      <w:pPr>
        <w:ind w:firstLineChars="150" w:firstLine="480"/>
        <w:rPr>
          <w:rFonts w:ascii="仿宋" w:eastAsia="仿宋"/>
          <w:sz w:val="32"/>
          <w:szCs w:val="32"/>
        </w:rPr>
      </w:pPr>
      <w:r>
        <w:rPr>
          <w:rFonts w:ascii="仿宋" w:eastAsia="仿宋" w:hint="eastAsia"/>
          <w:sz w:val="32"/>
          <w:szCs w:val="32"/>
        </w:rPr>
        <w:t>4、</w:t>
      </w:r>
      <w:r>
        <w:rPr>
          <w:rFonts w:ascii="仿宋" w:eastAsia="仿宋" w:hint="eastAsia"/>
          <w:b/>
          <w:sz w:val="32"/>
          <w:szCs w:val="32"/>
        </w:rPr>
        <w:t>基本支出</w:t>
      </w:r>
      <w:r>
        <w:rPr>
          <w:rFonts w:ascii="仿宋" w:eastAsia="仿宋" w:hint="eastAsia"/>
          <w:sz w:val="32"/>
          <w:szCs w:val="32"/>
        </w:rPr>
        <w:t>：指保障机构正常运转、完成支日常工作任务而发生的人员支出和公用支出。</w:t>
      </w:r>
    </w:p>
    <w:p>
      <w:pPr>
        <w:ind w:firstLineChars="150" w:firstLine="480"/>
        <w:rPr>
          <w:rFonts w:ascii="仿宋" w:eastAsia="仿宋"/>
          <w:sz w:val="32"/>
          <w:szCs w:val="32"/>
        </w:rPr>
      </w:pPr>
      <w:r>
        <w:rPr>
          <w:rFonts w:ascii="仿宋" w:eastAsia="仿宋" w:hint="eastAsia"/>
          <w:sz w:val="32"/>
          <w:szCs w:val="32"/>
        </w:rPr>
        <w:t>5、</w:t>
      </w:r>
      <w:r>
        <w:rPr>
          <w:rFonts w:ascii="仿宋" w:eastAsia="仿宋" w:hint="eastAsia"/>
          <w:b/>
          <w:sz w:val="32"/>
          <w:szCs w:val="32"/>
        </w:rPr>
        <w:t>项目支出</w:t>
      </w:r>
      <w:r>
        <w:rPr>
          <w:rFonts w:ascii="仿宋" w:eastAsia="仿宋" w:hint="eastAsia"/>
          <w:sz w:val="32"/>
          <w:szCs w:val="32"/>
        </w:rPr>
        <w:t>：指在基本支出之外为完成特定行政任务和事业发展目标所发生的支出。</w:t>
      </w:r>
    </w:p>
    <w:p>
      <w:pPr>
        <w:ind w:firstLineChars="225" w:firstLine="472"/>
        <w:rPr>
          <w:rFonts w:ascii="仿宋" w:eastAsia="仿宋"/>
        </w:rPr>
      </w:pPr>
      <w:r>
        <w:rPr>
          <w:rFonts w:ascii="仿宋" w:eastAsia="仿宋" w:hint="eastAsia"/>
        </w:rPr>
        <w:t xml:space="preserve">   </w:t>
      </w:r>
    </w:p>
    <w:sectPr>
      <w:pgSz w:w="11906" w:h="16838"/>
      <w:pgMar w:top="1418" w:right="1418" w:bottom="1418" w:left="1701"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altName w:val="Arial Unicode MS"/>
    <w:panose1 w:val="02010609060101010101"/>
    <w:charset w:val="86"/>
    <w:family w:val="modern"/>
    <w:pitch w:val="variable"/>
    <w:sig w:usb0="800002BF" w:usb1="38CF7CFA" w:usb2="00000016" w:usb3="00000000" w:csb0="00040001" w:csb1="00000000"/>
  </w:font>
  <w:font w:name="方正小标宋简体">
    <w:altName w:val="微软雅黑"/>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
    <w:altName w:val="Times New Roman"/>
    <w:panose1 w:val="00000000000000000000"/>
    <w:charset w:val="00"/>
    <w:family w:val="auto"/>
    <w:pitch w:val="variable"/>
    <w:sig w:usb0="00000000" w:usb1="00000000" w:usb2="00000000" w:usb3="00000000" w:csb0="00000001" w:csb1="00000000"/>
  </w:font>
  <w:font w:name="方正黑体_GBK">
    <w:altName w:val="Arial Unicode MS"/>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altName w:val="Arial Unicode MS"/>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5"/>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585</TotalTime>
  <Application>Yozo_Office</Application>
  <Pages>21</Pages>
  <Words>4706</Words>
  <Characters>5477</Characters>
  <Lines>1494</Lines>
  <Paragraphs>459</Paragraphs>
  <CharactersWithSpaces>6137</CharactersWithSpaces>
  <Company>Sky123.Org</Company>
</Properties>
</file>

<file path=docProps/core.xml><?xml version="1.0" encoding="utf-8"?>
<cp:coreProperties xmlns:cp="http://schemas.openxmlformats.org/package/2006/metadata/core-properties" xmlns:dc="http://purl.org/dc/elements/1.1/" xmlns:dcterms="http://purl.org/dc/terms/" xmlns:xsi="http://www.w3.org/2001/XMLSchema-instance">
  <dc:title>附件</dc:title>
  <dc:creator>User</dc:creator>
  <cp:lastModifiedBy>admin</cp:lastModifiedBy>
  <cp:revision>26</cp:revision>
  <cp:lastPrinted>2018-01-25T10:33:00Z</cp:lastPrinted>
  <dcterms:created xsi:type="dcterms:W3CDTF">2018-01-02T09:42:00Z</dcterms:created>
</cp:coreProperties>
</file>