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方正小标宋简体" w:hAnsi="仿宋" w:eastAsia="方正小标宋简体"/>
          <w:kern w:val="0"/>
          <w:sz w:val="44"/>
          <w:szCs w:val="44"/>
        </w:rPr>
        <w:t>青铜峡市文化体育广电局2018年部门预算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目</w:t>
      </w:r>
      <w:r>
        <w:rPr>
          <w:rFonts w:hint="eastAsia" w:ascii="宋体" w:hAnsi="宋体" w:eastAsia="方正小标宋简体"/>
          <w:kern w:val="0"/>
          <w:sz w:val="44"/>
          <w:szCs w:val="44"/>
        </w:rPr>
        <w:t> </w:t>
      </w:r>
      <w:r>
        <w:rPr>
          <w:rFonts w:hint="eastAsia" w:ascii="方正小标宋简体" w:hAnsi="仿宋" w:eastAsia="方正小标宋简体"/>
          <w:kern w:val="0"/>
          <w:sz w:val="44"/>
          <w:szCs w:val="44"/>
        </w:rPr>
        <w:t xml:space="preserve"> 录</w:t>
      </w:r>
    </w:p>
    <w:p>
      <w:pPr>
        <w:rPr>
          <w:rFonts w:ascii="仿宋" w:hAnsi="仿宋" w:eastAsia="仿宋"/>
          <w:b/>
          <w:kern w:val="0"/>
          <w:sz w:val="32"/>
          <w:szCs w:val="32"/>
        </w:rPr>
      </w:pPr>
    </w:p>
    <w:p>
      <w:pPr>
        <w:ind w:firstLine="720" w:firstLineChars="225"/>
        <w:rPr>
          <w:rFonts w:ascii="黑体" w:hAnsi="黑体" w:eastAsia="黑体"/>
          <w:kern w:val="0"/>
          <w:sz w:val="32"/>
          <w:szCs w:val="32"/>
        </w:rPr>
      </w:pPr>
      <w:r>
        <w:rPr>
          <w:rFonts w:hint="eastAsia" w:ascii="黑体" w:hAnsi="黑体" w:eastAsia="黑体"/>
          <w:kern w:val="0"/>
          <w:sz w:val="32"/>
          <w:szCs w:val="32"/>
        </w:rPr>
        <w:t>第一部分    单位概况</w:t>
      </w:r>
    </w:p>
    <w:p>
      <w:pPr>
        <w:ind w:firstLine="720" w:firstLineChars="225"/>
        <w:rPr>
          <w:rFonts w:ascii="仿宋" w:hAnsi="仿宋" w:eastAsia="仿宋"/>
          <w:kern w:val="0"/>
          <w:sz w:val="32"/>
          <w:szCs w:val="32"/>
        </w:rPr>
      </w:pPr>
      <w:r>
        <w:rPr>
          <w:rFonts w:hint="eastAsia" w:ascii="仿宋" w:hAnsi="仿宋" w:eastAsia="仿宋"/>
          <w:kern w:val="0"/>
          <w:sz w:val="32"/>
          <w:szCs w:val="32"/>
        </w:rPr>
        <w:t>一、</w:t>
      </w:r>
      <w:r>
        <w:rPr>
          <w:rFonts w:hint="eastAsia" w:ascii="仿宋" w:hAnsi="仿宋" w:eastAsia="仿宋"/>
          <w:color w:val="000000"/>
          <w:kern w:val="0"/>
          <w:sz w:val="32"/>
          <w:szCs w:val="32"/>
        </w:rPr>
        <w:t>主要职能</w:t>
      </w:r>
    </w:p>
    <w:p>
      <w:pPr>
        <w:ind w:firstLine="720" w:firstLineChars="225"/>
        <w:rPr>
          <w:rFonts w:ascii="仿宋" w:hAnsi="仿宋" w:eastAsia="仿宋"/>
          <w:kern w:val="0"/>
          <w:sz w:val="32"/>
          <w:szCs w:val="32"/>
        </w:rPr>
      </w:pPr>
      <w:r>
        <w:rPr>
          <w:rFonts w:hint="eastAsia" w:ascii="仿宋" w:hAnsi="仿宋" w:eastAsia="仿宋"/>
          <w:color w:val="000000"/>
          <w:kern w:val="0"/>
          <w:sz w:val="32"/>
          <w:szCs w:val="32"/>
        </w:rPr>
        <w:t>二、部门预算单位构成</w:t>
      </w:r>
    </w:p>
    <w:p>
      <w:pPr>
        <w:ind w:firstLine="720" w:firstLineChars="225"/>
        <w:rPr>
          <w:rFonts w:ascii="黑体" w:hAnsi="黑体" w:eastAsia="黑体"/>
          <w:kern w:val="0"/>
          <w:sz w:val="32"/>
          <w:szCs w:val="32"/>
        </w:rPr>
      </w:pPr>
      <w:r>
        <w:rPr>
          <w:rFonts w:hint="eastAsia" w:ascii="黑体" w:hAnsi="黑体" w:eastAsia="黑体"/>
          <w:kern w:val="0"/>
          <w:sz w:val="32"/>
          <w:szCs w:val="32"/>
        </w:rPr>
        <w:t>第二部分    2018年部门预算表</w:t>
      </w:r>
    </w:p>
    <w:p>
      <w:pPr>
        <w:ind w:firstLine="720" w:firstLineChars="225"/>
        <w:rPr>
          <w:rFonts w:ascii="仿宋" w:hAnsi="仿宋" w:eastAsia="仿宋"/>
          <w:kern w:val="0"/>
          <w:sz w:val="32"/>
          <w:szCs w:val="32"/>
        </w:rPr>
      </w:pPr>
      <w:r>
        <w:rPr>
          <w:rFonts w:hint="eastAsia" w:ascii="仿宋" w:hAnsi="仿宋" w:eastAsia="仿宋"/>
          <w:kern w:val="0"/>
          <w:sz w:val="32"/>
          <w:szCs w:val="32"/>
        </w:rPr>
        <w:t>一、财政拨款收支预算总表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二、财政拨款支出预算总表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三、一般公共预算支出表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四、一般公共预算基本支出和项目支出部门经济分类科目表</w:t>
      </w:r>
    </w:p>
    <w:p>
      <w:pPr>
        <w:ind w:firstLine="720" w:firstLineChars="225"/>
        <w:rPr>
          <w:rFonts w:ascii="仿宋" w:hAnsi="仿宋" w:eastAsia="仿宋"/>
          <w:kern w:val="0"/>
          <w:sz w:val="32"/>
          <w:szCs w:val="32"/>
        </w:rPr>
      </w:pPr>
      <w:r>
        <w:rPr>
          <w:rFonts w:hint="eastAsia" w:ascii="仿宋" w:hAnsi="仿宋" w:eastAsia="仿宋"/>
          <w:kern w:val="0"/>
          <w:sz w:val="32"/>
          <w:szCs w:val="32"/>
        </w:rPr>
        <w:t>五、一般公共预算“三公”经费支出表</w:t>
      </w:r>
    </w:p>
    <w:p>
      <w:pPr>
        <w:ind w:firstLine="720" w:firstLineChars="225"/>
        <w:rPr>
          <w:rFonts w:ascii="仿宋" w:hAnsi="仿宋" w:eastAsia="仿宋"/>
          <w:kern w:val="0"/>
          <w:sz w:val="32"/>
          <w:szCs w:val="32"/>
        </w:rPr>
      </w:pPr>
      <w:r>
        <w:rPr>
          <w:rFonts w:hint="eastAsia" w:ascii="仿宋" w:hAnsi="仿宋" w:eastAsia="仿宋"/>
          <w:kern w:val="0"/>
          <w:sz w:val="32"/>
          <w:szCs w:val="32"/>
        </w:rPr>
        <w:t>六、政府性基金预算支出明细表</w:t>
      </w:r>
    </w:p>
    <w:p>
      <w:pPr>
        <w:ind w:firstLine="720" w:firstLineChars="225"/>
        <w:rPr>
          <w:rFonts w:ascii="仿宋" w:hAnsi="仿宋" w:eastAsia="仿宋"/>
          <w:kern w:val="0"/>
          <w:sz w:val="32"/>
          <w:szCs w:val="32"/>
        </w:rPr>
      </w:pPr>
      <w:r>
        <w:rPr>
          <w:rFonts w:hint="eastAsia" w:ascii="仿宋" w:hAnsi="仿宋" w:eastAsia="仿宋"/>
          <w:kern w:val="0"/>
          <w:sz w:val="32"/>
          <w:szCs w:val="32"/>
        </w:rPr>
        <w:t>七、部门收支预算总表</w:t>
      </w:r>
    </w:p>
    <w:p>
      <w:pPr>
        <w:ind w:firstLine="720" w:firstLineChars="225"/>
        <w:rPr>
          <w:rFonts w:ascii="仿宋" w:hAnsi="仿宋" w:eastAsia="仿宋"/>
          <w:kern w:val="0"/>
          <w:sz w:val="32"/>
          <w:szCs w:val="32"/>
        </w:rPr>
      </w:pPr>
      <w:r>
        <w:rPr>
          <w:rFonts w:hint="eastAsia" w:ascii="仿宋" w:hAnsi="仿宋" w:eastAsia="仿宋"/>
          <w:kern w:val="0"/>
          <w:sz w:val="32"/>
          <w:szCs w:val="32"/>
        </w:rPr>
        <w:t>八、部门收入总表</w:t>
      </w:r>
    </w:p>
    <w:p>
      <w:pPr>
        <w:ind w:firstLine="720" w:firstLineChars="225"/>
        <w:rPr>
          <w:rFonts w:ascii="仿宋" w:hAnsi="仿宋" w:eastAsia="仿宋"/>
          <w:kern w:val="0"/>
          <w:sz w:val="32"/>
          <w:szCs w:val="32"/>
        </w:rPr>
      </w:pPr>
      <w:r>
        <w:rPr>
          <w:rFonts w:hint="eastAsia" w:ascii="仿宋" w:hAnsi="仿宋" w:eastAsia="仿宋"/>
          <w:kern w:val="0"/>
          <w:sz w:val="32"/>
          <w:szCs w:val="32"/>
        </w:rPr>
        <w:t>九、部门支出总表</w:t>
      </w:r>
    </w:p>
    <w:p>
      <w:pPr>
        <w:ind w:firstLine="720" w:firstLineChars="225"/>
        <w:rPr>
          <w:rFonts w:ascii="黑体" w:hAnsi="黑体" w:eastAsia="黑体"/>
          <w:kern w:val="0"/>
          <w:sz w:val="32"/>
          <w:szCs w:val="32"/>
        </w:rPr>
      </w:pPr>
      <w:r>
        <w:rPr>
          <w:rFonts w:hint="eastAsia" w:ascii="黑体" w:hAnsi="黑体" w:eastAsia="黑体"/>
          <w:kern w:val="0"/>
          <w:sz w:val="32"/>
          <w:szCs w:val="32"/>
        </w:rPr>
        <w:t>第三部分   2018年部门预算情况说明</w:t>
      </w:r>
    </w:p>
    <w:p>
      <w:pPr>
        <w:ind w:firstLine="720" w:firstLineChars="225"/>
        <w:rPr>
          <w:rFonts w:ascii="黑体" w:hAnsi="黑体" w:eastAsia="黑体"/>
          <w:kern w:val="0"/>
          <w:sz w:val="32"/>
          <w:szCs w:val="32"/>
        </w:rPr>
      </w:pPr>
      <w:r>
        <w:rPr>
          <w:rFonts w:hint="eastAsia" w:ascii="黑体" w:hAnsi="黑体" w:eastAsia="黑体"/>
          <w:kern w:val="0"/>
          <w:sz w:val="32"/>
          <w:szCs w:val="32"/>
        </w:rPr>
        <w:t>第四部门   名词解释</w:t>
      </w:r>
    </w:p>
    <w:p>
      <w:pPr>
        <w:ind w:firstLine="720" w:firstLineChars="225"/>
        <w:rPr>
          <w:rFonts w:ascii="黑体" w:hAnsi="黑体" w:eastAsia="黑体"/>
          <w:kern w:val="0"/>
          <w:sz w:val="32"/>
          <w:szCs w:val="32"/>
        </w:rPr>
      </w:pPr>
    </w:p>
    <w:p>
      <w:pPr>
        <w:rPr>
          <w:rFonts w:ascii="仿宋" w:hAnsi="仿宋" w:eastAsia="仿宋"/>
          <w:b/>
          <w:kern w:val="0"/>
          <w:sz w:val="32"/>
          <w:szCs w:val="32"/>
        </w:rPr>
      </w:pPr>
    </w:p>
    <w:p>
      <w:pPr>
        <w:rPr>
          <w:rFonts w:ascii="仿宋" w:hAnsi="仿宋" w:eastAsia="仿宋"/>
          <w:b/>
          <w:kern w:val="0"/>
          <w:sz w:val="32"/>
          <w:szCs w:val="32"/>
        </w:r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青铜峡市文化体育广电局</w:t>
      </w: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2018年部门预算——单位概况</w:t>
      </w:r>
    </w:p>
    <w:p>
      <w:pPr>
        <w:ind w:firstLine="716" w:firstLineChars="224"/>
        <w:rPr>
          <w:rFonts w:ascii="仿宋" w:hAnsi="仿宋" w:eastAsia="仿宋"/>
          <w:kern w:val="0"/>
          <w:sz w:val="32"/>
          <w:szCs w:val="32"/>
        </w:rPr>
      </w:pPr>
    </w:p>
    <w:p>
      <w:pPr>
        <w:ind w:firstLine="716" w:firstLineChars="224"/>
        <w:rPr>
          <w:rFonts w:ascii="黑体" w:hAnsi="黑体" w:eastAsia="黑体"/>
          <w:kern w:val="0"/>
          <w:sz w:val="32"/>
          <w:szCs w:val="32"/>
        </w:rPr>
      </w:pPr>
      <w:r>
        <w:rPr>
          <w:rFonts w:hint="eastAsia" w:ascii="黑体" w:hAnsi="黑体" w:eastAsia="黑体"/>
          <w:kern w:val="0"/>
          <w:sz w:val="32"/>
          <w:szCs w:val="32"/>
        </w:rPr>
        <w:t>一、</w:t>
      </w:r>
      <w:r>
        <w:rPr>
          <w:rFonts w:hint="eastAsia" w:ascii="黑体" w:hAnsi="黑体" w:eastAsia="黑体"/>
          <w:color w:val="000000"/>
          <w:kern w:val="0"/>
          <w:sz w:val="32"/>
          <w:szCs w:val="32"/>
        </w:rPr>
        <w:t>主要职能</w:t>
      </w:r>
      <w:r>
        <w:rPr>
          <w:rFonts w:hint="eastAsia" w:eastAsia="黑体"/>
          <w:kern w:val="0"/>
          <w:sz w:val="32"/>
          <w:szCs w:val="32"/>
        </w:rPr>
        <w:t> </w:t>
      </w:r>
    </w:p>
    <w:p>
      <w:pPr>
        <w:ind w:firstLine="716" w:firstLineChars="224"/>
        <w:rPr>
          <w:rFonts w:ascii="仿宋" w:hAnsi="仿宋" w:eastAsia="仿宋"/>
          <w:kern w:val="0"/>
          <w:sz w:val="32"/>
          <w:szCs w:val="32"/>
        </w:rPr>
      </w:pPr>
      <w:r>
        <w:rPr>
          <w:rFonts w:hint="eastAsia" w:ascii="仿宋" w:hAnsi="仿宋" w:eastAsia="仿宋"/>
          <w:kern w:val="0"/>
          <w:sz w:val="32"/>
          <w:szCs w:val="32"/>
        </w:rPr>
        <w:t>(一)贯彻实施有关法律、法规、规章，执行国家和自治区有关文化艺术、体育工作、广播电视事业的方针、政策；拟订全市文化艺术、体育工作、广播影视的中长期规划和年度计划，并组织实施。</w:t>
      </w:r>
    </w:p>
    <w:p>
      <w:pPr>
        <w:ind w:firstLine="716" w:firstLineChars="224"/>
        <w:rPr>
          <w:rFonts w:ascii="仿宋" w:hAnsi="仿宋" w:eastAsia="仿宋"/>
          <w:kern w:val="0"/>
          <w:sz w:val="32"/>
          <w:szCs w:val="32"/>
        </w:rPr>
      </w:pPr>
      <w:r>
        <w:rPr>
          <w:rFonts w:hint="eastAsia" w:ascii="仿宋" w:hAnsi="仿宋" w:eastAsia="仿宋"/>
          <w:kern w:val="0"/>
          <w:sz w:val="32"/>
          <w:szCs w:val="32"/>
        </w:rPr>
        <w:t>(二)培育和完善文化、体育、广播影视市场，负责全市文化、体育、广播影视整体形象的对外宣传和重大文化、体育、广播影视推广促销活动。</w:t>
      </w:r>
    </w:p>
    <w:p>
      <w:pPr>
        <w:ind w:firstLine="716" w:firstLineChars="224"/>
        <w:rPr>
          <w:rFonts w:ascii="仿宋" w:hAnsi="仿宋" w:eastAsia="仿宋"/>
          <w:kern w:val="0"/>
          <w:sz w:val="32"/>
          <w:szCs w:val="32"/>
        </w:rPr>
      </w:pPr>
      <w:r>
        <w:rPr>
          <w:rFonts w:hint="eastAsia" w:ascii="仿宋" w:hAnsi="仿宋" w:eastAsia="仿宋"/>
          <w:kern w:val="0"/>
          <w:sz w:val="32"/>
          <w:szCs w:val="32"/>
        </w:rPr>
        <w:t>(三)组织开展全市文化、体育、广播影视资源的普查、开发利用和相关保护工作；指导和监管文化、体育、广播电视重点基础设施建设。</w:t>
      </w:r>
    </w:p>
    <w:p>
      <w:pPr>
        <w:ind w:firstLine="716" w:firstLineChars="224"/>
        <w:rPr>
          <w:rFonts w:ascii="仿宋" w:hAnsi="仿宋" w:eastAsia="仿宋"/>
          <w:kern w:val="0"/>
          <w:sz w:val="32"/>
          <w:szCs w:val="32"/>
        </w:rPr>
      </w:pPr>
      <w:r>
        <w:rPr>
          <w:rFonts w:hint="eastAsia" w:ascii="仿宋" w:hAnsi="仿宋" w:eastAsia="仿宋"/>
          <w:kern w:val="0"/>
          <w:sz w:val="32"/>
          <w:szCs w:val="32"/>
        </w:rPr>
        <w:t>(四)指导全市文化艺术创作，挖掘、整理和保护具有代表性、示范性的文化遗产和非物质文化遗产，推动以特色文化为龙头的各种文化艺术的发展；指导各类社会文化事业建设与发展，指导、协调、组织全市性社会文化活动。</w:t>
      </w:r>
    </w:p>
    <w:p>
      <w:pPr>
        <w:ind w:firstLine="716" w:firstLineChars="224"/>
        <w:rPr>
          <w:rFonts w:ascii="仿宋" w:hAnsi="仿宋" w:eastAsia="仿宋"/>
          <w:kern w:val="0"/>
          <w:sz w:val="32"/>
          <w:szCs w:val="32"/>
        </w:rPr>
      </w:pPr>
      <w:r>
        <w:rPr>
          <w:rFonts w:hint="eastAsia" w:ascii="仿宋" w:hAnsi="仿宋" w:eastAsia="仿宋"/>
          <w:kern w:val="0"/>
          <w:sz w:val="32"/>
          <w:szCs w:val="32"/>
        </w:rPr>
        <w:t>(五)组织实施全民健身计划，指导开展群众性体育活动；指导青少年体育工作；实施国家体育锻炼标准，开展国民体质监测工作。</w:t>
      </w:r>
    </w:p>
    <w:p>
      <w:pPr>
        <w:ind w:firstLine="716" w:firstLineChars="224"/>
        <w:rPr>
          <w:rFonts w:ascii="仿宋" w:hAnsi="仿宋" w:eastAsia="仿宋"/>
          <w:kern w:val="0"/>
          <w:sz w:val="32"/>
          <w:szCs w:val="32"/>
        </w:rPr>
      </w:pPr>
      <w:r>
        <w:rPr>
          <w:rFonts w:hint="eastAsia" w:ascii="仿宋" w:hAnsi="仿宋" w:eastAsia="仿宋"/>
          <w:kern w:val="0"/>
          <w:sz w:val="32"/>
          <w:szCs w:val="32"/>
        </w:rPr>
        <w:t>(六)规划指导全市体育工作。负责市级综合性体育运动会和单项竞赛活动；指导体育训练工作，组织参加自治区、吴忠市举办的各类体育比赛活动。</w:t>
      </w:r>
    </w:p>
    <w:p>
      <w:pPr>
        <w:ind w:firstLine="716" w:firstLineChars="224"/>
        <w:rPr>
          <w:rFonts w:ascii="仿宋" w:hAnsi="仿宋" w:eastAsia="仿宋"/>
          <w:kern w:val="0"/>
          <w:sz w:val="32"/>
          <w:szCs w:val="32"/>
        </w:rPr>
      </w:pPr>
      <w:r>
        <w:rPr>
          <w:rFonts w:hint="eastAsia" w:ascii="仿宋" w:hAnsi="仿宋" w:eastAsia="仿宋"/>
          <w:kern w:val="0"/>
          <w:sz w:val="32"/>
          <w:szCs w:val="32"/>
        </w:rPr>
        <w:t>(七)根据有关规定对全市文化、娱乐、文艺演出，以及文物、美术品交易、出版、印刷、网吧等市场进行行政许可和营业性演出内容核准；负责广播电台、电视台、卫星广播电视地面接收设施、无线及有线广播电视传输覆盖网、互联网视听节目传播等行政许可项目的审核上报及日常监管；负责广播电视站、电影放映单位设立的行政审批。</w:t>
      </w:r>
    </w:p>
    <w:p>
      <w:pPr>
        <w:ind w:firstLine="716" w:firstLineChars="224"/>
        <w:rPr>
          <w:rFonts w:ascii="仿宋" w:hAnsi="仿宋" w:eastAsia="仿宋"/>
          <w:kern w:val="0"/>
          <w:sz w:val="32"/>
          <w:szCs w:val="32"/>
        </w:rPr>
      </w:pPr>
      <w:r>
        <w:rPr>
          <w:rFonts w:hint="eastAsia" w:ascii="仿宋" w:hAnsi="仿宋" w:eastAsia="仿宋"/>
          <w:kern w:val="0"/>
          <w:sz w:val="32"/>
          <w:szCs w:val="32"/>
        </w:rPr>
        <w:t>(八)发展体育产业，拓展体育市场，依法对全市体育经营活动从业资格、临时占用体育场地设施的行政审批和经营高危险性体育项目进行行政许可；对全市体育社团进行监督管理。</w:t>
      </w:r>
    </w:p>
    <w:p>
      <w:pPr>
        <w:ind w:firstLine="716" w:firstLineChars="224"/>
        <w:rPr>
          <w:rFonts w:ascii="仿宋" w:hAnsi="仿宋" w:eastAsia="仿宋"/>
          <w:kern w:val="0"/>
          <w:sz w:val="32"/>
          <w:szCs w:val="32"/>
        </w:rPr>
      </w:pPr>
      <w:r>
        <w:rPr>
          <w:rFonts w:hint="eastAsia" w:ascii="仿宋" w:hAnsi="仿宋" w:eastAsia="仿宋"/>
          <w:kern w:val="0"/>
          <w:sz w:val="32"/>
          <w:szCs w:val="32"/>
        </w:rPr>
        <w:t>(九)依法对全市广播影视播出机构进行管理、监督和检查；监督管理广播影视节目、卫星电视节目收录和通过信息网络向公众传播的视听节目。</w:t>
      </w:r>
    </w:p>
    <w:p>
      <w:pPr>
        <w:ind w:firstLine="716" w:firstLineChars="224"/>
        <w:rPr>
          <w:rFonts w:ascii="仿宋" w:hAnsi="仿宋" w:eastAsia="仿宋"/>
          <w:kern w:val="0"/>
          <w:sz w:val="32"/>
          <w:szCs w:val="32"/>
        </w:rPr>
      </w:pPr>
      <w:r>
        <w:rPr>
          <w:rFonts w:hint="eastAsia" w:ascii="仿宋" w:hAnsi="仿宋" w:eastAsia="仿宋"/>
          <w:kern w:val="0"/>
          <w:sz w:val="32"/>
          <w:szCs w:val="32"/>
        </w:rPr>
        <w:t>(十)负责文化、体育、广播电视专业理论调研、资料收集、信息交流、统计工作；引导外资及社会资金投入文化、体育和广播电视产业，促进全市文化、体育、广播电视事业发展。</w:t>
      </w:r>
    </w:p>
    <w:p>
      <w:pPr>
        <w:ind w:firstLine="716" w:firstLineChars="224"/>
        <w:rPr>
          <w:rFonts w:ascii="仿宋" w:hAnsi="仿宋" w:eastAsia="仿宋"/>
          <w:kern w:val="0"/>
          <w:sz w:val="32"/>
          <w:szCs w:val="32"/>
        </w:rPr>
      </w:pPr>
      <w:r>
        <w:rPr>
          <w:rFonts w:hint="eastAsia" w:ascii="仿宋" w:hAnsi="仿宋" w:eastAsia="仿宋"/>
          <w:kern w:val="0"/>
          <w:sz w:val="32"/>
          <w:szCs w:val="32"/>
        </w:rPr>
        <w:t>(十一)把握正确舆论导向，指导办好青铜峡市广播和电视节目。抓好农村电影放映工作，组织开展农村广播影视公共服务体系建设，满足广大农民群众对广播影视的需求，促进新农村建设。</w:t>
      </w:r>
    </w:p>
    <w:p>
      <w:pPr>
        <w:ind w:firstLine="716" w:firstLineChars="224"/>
        <w:rPr>
          <w:rFonts w:ascii="仿宋" w:hAnsi="仿宋" w:eastAsia="仿宋"/>
          <w:kern w:val="0"/>
          <w:sz w:val="32"/>
          <w:szCs w:val="32"/>
        </w:rPr>
      </w:pPr>
      <w:r>
        <w:rPr>
          <w:rFonts w:hint="eastAsia" w:ascii="仿宋" w:hAnsi="仿宋" w:eastAsia="仿宋"/>
          <w:kern w:val="0"/>
          <w:sz w:val="32"/>
          <w:szCs w:val="32"/>
        </w:rPr>
        <w:t>(十二)负责全市文化、体育、广播影视安全工作；维护各类设施的安全；对破坏设施安全的案件进行查处。</w:t>
      </w:r>
    </w:p>
    <w:p>
      <w:pPr>
        <w:ind w:firstLine="716" w:firstLineChars="224"/>
        <w:rPr>
          <w:rFonts w:ascii="仿宋" w:hAnsi="仿宋" w:eastAsia="仿宋"/>
          <w:kern w:val="0"/>
          <w:sz w:val="32"/>
          <w:szCs w:val="32"/>
        </w:rPr>
      </w:pPr>
      <w:r>
        <w:rPr>
          <w:rFonts w:hint="eastAsia" w:ascii="仿宋" w:hAnsi="仿宋" w:eastAsia="仿宋"/>
          <w:kern w:val="0"/>
          <w:sz w:val="32"/>
          <w:szCs w:val="32"/>
        </w:rPr>
        <w:t>(十三)负责文化、体育、广播电视方面专业人员、执法人员和从业人员教育培训工作。</w:t>
      </w:r>
    </w:p>
    <w:p>
      <w:pPr>
        <w:ind w:firstLine="716" w:firstLineChars="224"/>
        <w:rPr>
          <w:rFonts w:ascii="仿宋" w:hAnsi="仿宋" w:eastAsia="仿宋"/>
          <w:kern w:val="0"/>
          <w:sz w:val="32"/>
          <w:szCs w:val="32"/>
        </w:rPr>
      </w:pPr>
      <w:r>
        <w:rPr>
          <w:rFonts w:hint="eastAsia" w:ascii="仿宋" w:hAnsi="仿宋" w:eastAsia="仿宋"/>
          <w:kern w:val="0"/>
          <w:sz w:val="32"/>
          <w:szCs w:val="32"/>
        </w:rPr>
        <w:t>(十四)承办市人民政府交办的其他事项。</w:t>
      </w:r>
    </w:p>
    <w:p>
      <w:pPr>
        <w:ind w:firstLine="716" w:firstLineChars="224"/>
        <w:rPr>
          <w:rFonts w:ascii="黑体" w:hAnsi="黑体" w:eastAsia="黑体"/>
          <w:kern w:val="0"/>
          <w:sz w:val="32"/>
          <w:szCs w:val="32"/>
        </w:rPr>
      </w:pPr>
      <w:r>
        <w:rPr>
          <w:rFonts w:hint="eastAsia" w:ascii="黑体" w:hAnsi="黑体" w:eastAsia="黑体"/>
          <w:kern w:val="0"/>
          <w:sz w:val="32"/>
          <w:szCs w:val="32"/>
        </w:rPr>
        <w:t>二、部门预算单位构成</w:t>
      </w:r>
    </w:p>
    <w:p>
      <w:pPr>
        <w:ind w:firstLine="716" w:firstLineChars="224"/>
        <w:rPr>
          <w:rFonts w:ascii="仿宋" w:hAnsi="仿宋" w:eastAsia="仿宋"/>
          <w:kern w:val="0"/>
          <w:sz w:val="32"/>
          <w:szCs w:val="32"/>
        </w:rPr>
      </w:pPr>
      <w:r>
        <w:rPr>
          <w:rFonts w:hint="eastAsia" w:ascii="仿宋" w:hAnsi="仿宋" w:eastAsia="仿宋"/>
          <w:color w:val="000000"/>
          <w:kern w:val="0"/>
          <w:sz w:val="32"/>
          <w:szCs w:val="32"/>
        </w:rPr>
        <w:t>从预算单位构成看，青铜峡市文化体育广电局部门预算包括：青铜峡市文化体育广电局本级预算、所属事业单位预算。纳入青铜峡市文化体育广电局2018年部门预算编制的二级预算单位6家，其中行政单位1家、事业单位4家、文化体制改制演艺团体1家(财政每年用于180万元的形式购买100场文艺演出)，具体包括：</w:t>
      </w:r>
    </w:p>
    <w:p>
      <w:pPr>
        <w:ind w:firstLine="716" w:firstLineChars="224"/>
        <w:rPr>
          <w:rFonts w:ascii="仿宋" w:hAnsi="仿宋" w:eastAsia="仿宋"/>
          <w:color w:val="000000"/>
          <w:kern w:val="0"/>
          <w:sz w:val="32"/>
          <w:szCs w:val="32"/>
        </w:rPr>
      </w:pPr>
      <w:r>
        <w:rPr>
          <w:rFonts w:hint="eastAsia" w:ascii="仿宋" w:hAnsi="仿宋" w:eastAsia="仿宋"/>
          <w:color w:val="000000"/>
          <w:kern w:val="0"/>
          <w:sz w:val="32"/>
          <w:szCs w:val="32"/>
        </w:rPr>
        <w:t>1、青铜峡市文化馆</w:t>
      </w:r>
    </w:p>
    <w:p>
      <w:pPr>
        <w:ind w:firstLine="716" w:firstLineChars="224"/>
        <w:rPr>
          <w:rFonts w:ascii="仿宋" w:hAnsi="仿宋" w:eastAsia="仿宋"/>
          <w:color w:val="000000"/>
          <w:kern w:val="0"/>
          <w:sz w:val="32"/>
          <w:szCs w:val="32"/>
        </w:rPr>
      </w:pPr>
      <w:r>
        <w:rPr>
          <w:rFonts w:hint="eastAsia" w:ascii="仿宋" w:hAnsi="仿宋" w:eastAsia="仿宋"/>
          <w:color w:val="000000"/>
          <w:kern w:val="0"/>
          <w:sz w:val="32"/>
          <w:szCs w:val="32"/>
        </w:rPr>
        <w:t>2、青铜峡市文物管理所</w:t>
      </w:r>
    </w:p>
    <w:p>
      <w:pPr>
        <w:ind w:firstLine="716" w:firstLineChars="224"/>
        <w:rPr>
          <w:rFonts w:ascii="仿宋" w:hAnsi="仿宋" w:eastAsia="仿宋"/>
          <w:color w:val="000000"/>
          <w:kern w:val="0"/>
          <w:sz w:val="32"/>
          <w:szCs w:val="32"/>
        </w:rPr>
      </w:pPr>
      <w:r>
        <w:rPr>
          <w:rFonts w:hint="eastAsia" w:ascii="仿宋" w:hAnsi="仿宋" w:eastAsia="仿宋"/>
          <w:color w:val="000000"/>
          <w:kern w:val="0"/>
          <w:sz w:val="32"/>
          <w:szCs w:val="32"/>
        </w:rPr>
        <w:t>3、青铜峡市图书馆</w:t>
      </w:r>
    </w:p>
    <w:p>
      <w:pPr>
        <w:ind w:firstLine="716" w:firstLineChars="224"/>
        <w:rPr>
          <w:rFonts w:ascii="仿宋" w:hAnsi="仿宋" w:eastAsia="仿宋"/>
          <w:color w:val="000000"/>
          <w:kern w:val="0"/>
          <w:sz w:val="32"/>
          <w:szCs w:val="32"/>
        </w:rPr>
      </w:pPr>
      <w:r>
        <w:rPr>
          <w:rFonts w:hint="eastAsia" w:ascii="仿宋" w:hAnsi="仿宋" w:eastAsia="仿宋"/>
          <w:kern w:val="0"/>
          <w:sz w:val="32"/>
          <w:szCs w:val="32"/>
        </w:rPr>
        <w:t>4、</w:t>
      </w:r>
      <w:r>
        <w:rPr>
          <w:rFonts w:hint="eastAsia" w:ascii="仿宋" w:hAnsi="仿宋" w:eastAsia="仿宋"/>
          <w:color w:val="000000"/>
          <w:kern w:val="0"/>
          <w:sz w:val="32"/>
          <w:szCs w:val="32"/>
        </w:rPr>
        <w:t>青铜峡市广播电视台</w:t>
      </w:r>
    </w:p>
    <w:p>
      <w:pPr>
        <w:ind w:firstLine="716" w:firstLineChars="224"/>
        <w:rPr>
          <w:rFonts w:ascii="仿宋" w:hAnsi="仿宋" w:eastAsia="仿宋"/>
          <w:kern w:val="0"/>
          <w:sz w:val="32"/>
          <w:szCs w:val="32"/>
        </w:rPr>
      </w:pPr>
      <w:r>
        <w:rPr>
          <w:rFonts w:hint="eastAsia" w:ascii="仿宋" w:hAnsi="仿宋" w:eastAsia="仿宋"/>
          <w:color w:val="000000"/>
          <w:kern w:val="0"/>
          <w:sz w:val="32"/>
          <w:szCs w:val="32"/>
        </w:rPr>
        <w:t>5、宁夏青铜峡文化演艺有限公司(改制单位)</w:t>
      </w:r>
    </w:p>
    <w:p>
      <w:pPr>
        <w:ind w:firstLine="716" w:firstLineChars="224"/>
        <w:rPr>
          <w:rFonts w:ascii="仿宋" w:hAnsi="仿宋" w:eastAsia="仿宋"/>
          <w:kern w:val="0"/>
          <w:sz w:val="32"/>
          <w:szCs w:val="32"/>
        </w:rPr>
      </w:pPr>
    </w:p>
    <w:p>
      <w:pPr>
        <w:ind w:firstLine="716" w:firstLineChars="224"/>
        <w:rPr>
          <w:rFonts w:ascii="仿宋" w:hAnsi="仿宋" w:eastAsia="仿宋"/>
          <w:kern w:val="0"/>
          <w:sz w:val="32"/>
          <w:szCs w:val="32"/>
        </w:rPr>
        <w:sectPr>
          <w:headerReference r:id="rId3" w:type="default"/>
          <w:footerReference r:id="rId4" w:type="default"/>
          <w:pgSz w:w="11906" w:h="16838"/>
          <w:pgMar w:top="1418" w:right="1474" w:bottom="1418" w:left="1644" w:header="851" w:footer="992" w:gutter="0"/>
          <w:cols w:space="720" w:num="1"/>
          <w:docGrid w:type="lines" w:linePitch="312" w:charSpace="0"/>
        </w:sectPr>
      </w:pPr>
    </w:p>
    <w:p>
      <w:pPr>
        <w:jc w:val="center"/>
        <w:rPr>
          <w:rFonts w:ascii="方正小标宋简体" w:hAnsi="仿宋" w:eastAsia="方正小标宋简体"/>
          <w:kern w:val="0"/>
          <w:sz w:val="44"/>
          <w:szCs w:val="44"/>
        </w:rPr>
      </w:pPr>
      <w:r>
        <w:rPr>
          <w:rFonts w:hint="eastAsia" w:ascii="方正小标宋简体" w:hAnsi="仿宋" w:eastAsia="方正小标宋简体"/>
          <w:kern w:val="0"/>
          <w:sz w:val="44"/>
          <w:szCs w:val="44"/>
        </w:rPr>
        <w:t>青铜峡市文化体育广电局2018年部门预算——预算表</w:t>
      </w:r>
    </w:p>
    <w:p>
      <w:pPr>
        <w:rPr>
          <w:rFonts w:ascii="黑体" w:hAnsi="黑体" w:eastAsia="黑体"/>
          <w:kern w:val="0"/>
          <w:sz w:val="24"/>
        </w:rPr>
      </w:pPr>
      <w:r>
        <w:rPr>
          <w:rFonts w:hint="eastAsia" w:ascii="黑体" w:hAnsi="黑体" w:eastAsia="黑体"/>
          <w:kern w:val="0"/>
          <w:sz w:val="32"/>
          <w:szCs w:val="32"/>
        </w:rPr>
        <w:t>一、财政拨款收支预算总表</w:t>
      </w:r>
    </w:p>
    <w:p>
      <w:pPr>
        <w:jc w:val="center"/>
        <w:rPr>
          <w:rFonts w:ascii="仿宋" w:hAnsi="仿宋" w:eastAsia="仿宋"/>
          <w:kern w:val="0"/>
          <w:sz w:val="32"/>
          <w:szCs w:val="32"/>
        </w:rPr>
      </w:pPr>
      <w:r>
        <w:rPr>
          <w:rFonts w:hint="eastAsia" w:ascii="仿宋" w:hAnsi="仿宋" w:eastAsia="仿宋"/>
          <w:b/>
          <w:kern w:val="0"/>
          <w:sz w:val="32"/>
          <w:szCs w:val="32"/>
        </w:rPr>
        <w:t>财政拨款收支预算总表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6"/>
        <w:tblW w:w="13809" w:type="dxa"/>
        <w:tblInd w:w="0" w:type="dxa"/>
        <w:tblLayout w:type="fixed"/>
        <w:tblCellMar>
          <w:top w:w="0" w:type="dxa"/>
          <w:left w:w="0" w:type="dxa"/>
          <w:bottom w:w="0" w:type="dxa"/>
          <w:right w:w="0" w:type="dxa"/>
        </w:tblCellMar>
      </w:tblPr>
      <w:tblGrid>
        <w:gridCol w:w="3852"/>
        <w:gridCol w:w="1364"/>
        <w:gridCol w:w="3725"/>
        <w:gridCol w:w="127"/>
        <w:gridCol w:w="1364"/>
        <w:gridCol w:w="68"/>
        <w:gridCol w:w="1296"/>
        <w:gridCol w:w="263"/>
        <w:gridCol w:w="1750"/>
      </w:tblGrid>
      <w:tr>
        <w:tblPrEx>
          <w:tblLayout w:type="fixed"/>
          <w:tblCellMar>
            <w:top w:w="0" w:type="dxa"/>
            <w:left w:w="0" w:type="dxa"/>
            <w:bottom w:w="0" w:type="dxa"/>
            <w:right w:w="0" w:type="dxa"/>
          </w:tblCellMar>
        </w:tblPrEx>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7"/>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52" w:type="dxa"/>
            <w:gridSpan w:val="2"/>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741" w:type="dxa"/>
            <w:gridSpan w:val="5"/>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852" w:type="dxa"/>
            <w:gridSpan w:val="2"/>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80"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b/>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1357.86</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1357.86</w:t>
            </w: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71.50</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71.50</w:t>
            </w: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30.68</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30.68</w:t>
            </w: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852"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2013"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42"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8593" w:type="dxa"/>
            <w:gridSpan w:val="7"/>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725"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868" w:type="dxa"/>
            <w:gridSpan w:val="6"/>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3725"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559"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75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41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725"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559" w:type="dxa"/>
            <w:gridSpan w:val="3"/>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75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6"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725"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559" w:type="dxa"/>
            <w:gridSpan w:val="3"/>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75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725"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559" w:type="dxa"/>
            <w:gridSpan w:val="3"/>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75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3725"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559" w:type="dxa"/>
            <w:gridSpan w:val="3"/>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75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725"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559"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27.22</w:t>
            </w: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27.22</w:t>
            </w:r>
          </w:p>
        </w:tc>
        <w:tc>
          <w:tcPr>
            <w:tcW w:w="175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725"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559" w:type="dxa"/>
            <w:gridSpan w:val="3"/>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75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4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725"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559" w:type="dxa"/>
            <w:gridSpan w:val="3"/>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75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725"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559" w:type="dxa"/>
            <w:gridSpan w:val="3"/>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75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0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725"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　</w:t>
            </w:r>
          </w:p>
        </w:tc>
        <w:tc>
          <w:tcPr>
            <w:tcW w:w="1559" w:type="dxa"/>
            <w:gridSpan w:val="3"/>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75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r>
      <w:tr>
        <w:tblPrEx>
          <w:tblLayout w:type="fixed"/>
          <w:tblCellMar>
            <w:top w:w="0" w:type="dxa"/>
            <w:left w:w="0" w:type="dxa"/>
            <w:bottom w:w="0" w:type="dxa"/>
            <w:right w:w="0" w:type="dxa"/>
          </w:tblCellMar>
        </w:tblPrEx>
        <w:trPr>
          <w:trHeight w:val="45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725"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559" w:type="dxa"/>
            <w:gridSpan w:val="3"/>
            <w:tcBorders>
              <w:top w:val="nil"/>
              <w:left w:val="nil"/>
              <w:bottom w:val="nil"/>
              <w:right w:val="nil"/>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75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3725"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55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c>
          <w:tcPr>
            <w:tcW w:w="1750"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3725"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w:t>
            </w:r>
          </w:p>
        </w:tc>
        <w:tc>
          <w:tcPr>
            <w:tcW w:w="1559"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1559"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1750"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r>
    </w:tbl>
    <w:p>
      <w:pPr>
        <w:rPr>
          <w:rFonts w:ascii="仿宋" w:hAnsi="仿宋" w:eastAsia="仿宋"/>
          <w:kern w:val="0"/>
          <w:sz w:val="24"/>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w:t>
      </w:r>
    </w:p>
    <w:p>
      <w:pPr>
        <w:rPr>
          <w:rFonts w:ascii="仿宋" w:hAnsi="仿宋" w:eastAsia="仿宋"/>
          <w:kern w:val="0"/>
          <w:sz w:val="32"/>
          <w:szCs w:val="32"/>
        </w:rPr>
      </w:pPr>
    </w:p>
    <w:p>
      <w:pPr>
        <w:rPr>
          <w:rFonts w:ascii="仿宋" w:hAnsi="仿宋" w:eastAsia="仿宋"/>
          <w:kern w:val="0"/>
          <w:sz w:val="32"/>
          <w:szCs w:val="32"/>
        </w:rPr>
      </w:pPr>
    </w:p>
    <w:p>
      <w:pPr>
        <w:rPr>
          <w:rFonts w:ascii="黑体" w:hAnsi="黑体" w:eastAsia="黑体"/>
          <w:kern w:val="0"/>
          <w:sz w:val="24"/>
        </w:rPr>
      </w:pPr>
      <w:r>
        <w:rPr>
          <w:rFonts w:hint="eastAsia" w:ascii="黑体" w:hAnsi="黑体" w:eastAsia="黑体"/>
          <w:kern w:val="0"/>
          <w:sz w:val="32"/>
          <w:szCs w:val="32"/>
        </w:rPr>
        <w:t>二、财政拨款支出预算总表</w:t>
      </w:r>
    </w:p>
    <w:p>
      <w:pPr>
        <w:jc w:val="center"/>
        <w:rPr>
          <w:rFonts w:ascii="仿宋" w:hAnsi="仿宋" w:eastAsia="仿宋"/>
          <w:kern w:val="0"/>
          <w:sz w:val="24"/>
        </w:rPr>
      </w:pPr>
      <w:r>
        <w:rPr>
          <w:rFonts w:hint="eastAsia" w:ascii="仿宋" w:hAnsi="仿宋" w:eastAsia="仿宋"/>
          <w:b/>
          <w:kern w:val="0"/>
          <w:sz w:val="36"/>
          <w:szCs w:val="36"/>
        </w:rPr>
        <w:t>财政拨款支出预算总表</w:t>
      </w:r>
    </w:p>
    <w:p>
      <w:pPr>
        <w:rPr>
          <w:rFonts w:ascii="仿宋" w:hAnsi="仿宋" w:eastAsia="仿宋"/>
          <w:kern w:val="0"/>
          <w:sz w:val="28"/>
          <w:szCs w:val="28"/>
        </w:rPr>
      </w:pPr>
      <w:r>
        <w:rPr>
          <w:rFonts w:hint="eastAsia" w:ascii="仿宋" w:hAnsi="宋体" w:eastAsia="仿宋"/>
          <w:kern w:val="0"/>
          <w:sz w:val="32"/>
          <w:szCs w:val="32"/>
        </w:rPr>
        <w:t xml:space="preserve">                                       </w:t>
      </w:r>
      <w:r>
        <w:rPr>
          <w:rFonts w:hint="eastAsia" w:ascii="仿宋" w:hAnsi="仿宋" w:eastAsia="仿宋"/>
          <w:kern w:val="0"/>
          <w:sz w:val="28"/>
          <w:szCs w:val="28"/>
        </w:rPr>
        <w:t xml:space="preserve">   单位：万元</w:t>
      </w:r>
    </w:p>
    <w:tbl>
      <w:tblPr>
        <w:tblStyle w:val="6"/>
        <w:tblW w:w="15883" w:type="dxa"/>
        <w:tblInd w:w="-5" w:type="dxa"/>
        <w:tblLayout w:type="fixed"/>
        <w:tblCellMar>
          <w:top w:w="0" w:type="dxa"/>
          <w:left w:w="0" w:type="dxa"/>
          <w:bottom w:w="0" w:type="dxa"/>
          <w:right w:w="0" w:type="dxa"/>
        </w:tblCellMar>
      </w:tblPr>
      <w:tblGrid>
        <w:gridCol w:w="707"/>
        <w:gridCol w:w="144"/>
        <w:gridCol w:w="417"/>
        <w:gridCol w:w="618"/>
        <w:gridCol w:w="103"/>
        <w:gridCol w:w="1287"/>
        <w:gridCol w:w="247"/>
        <w:gridCol w:w="464"/>
        <w:gridCol w:w="393"/>
        <w:gridCol w:w="639"/>
        <w:gridCol w:w="184"/>
        <w:gridCol w:w="497"/>
        <w:gridCol w:w="187"/>
        <w:gridCol w:w="164"/>
        <w:gridCol w:w="68"/>
        <w:gridCol w:w="782"/>
        <w:gridCol w:w="118"/>
        <w:gridCol w:w="409"/>
        <w:gridCol w:w="264"/>
        <w:gridCol w:w="357"/>
        <w:gridCol w:w="289"/>
        <w:gridCol w:w="350"/>
        <w:gridCol w:w="421"/>
        <w:gridCol w:w="155"/>
        <w:gridCol w:w="393"/>
        <w:gridCol w:w="852"/>
        <w:gridCol w:w="393"/>
        <w:gridCol w:w="115"/>
        <w:gridCol w:w="100"/>
        <w:gridCol w:w="933"/>
        <w:gridCol w:w="286"/>
        <w:gridCol w:w="1114"/>
        <w:gridCol w:w="134"/>
        <w:gridCol w:w="71"/>
        <w:gridCol w:w="21"/>
        <w:gridCol w:w="2207"/>
      </w:tblGrid>
      <w:tr>
        <w:tblPrEx>
          <w:tblLayout w:type="fixed"/>
          <w:tblCellMar>
            <w:top w:w="0" w:type="dxa"/>
            <w:left w:w="0" w:type="dxa"/>
            <w:bottom w:w="0" w:type="dxa"/>
            <w:right w:w="0" w:type="dxa"/>
          </w:tblCellMar>
        </w:tblPrEx>
        <w:trPr>
          <w:gridAfter w:val="2"/>
          <w:wAfter w:w="2228" w:type="dxa"/>
          <w:trHeight w:val="54" w:hRule="atLeast"/>
        </w:trPr>
        <w:tc>
          <w:tcPr>
            <w:tcW w:w="3276" w:type="dxa"/>
            <w:gridSpan w:val="6"/>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功能分类科目</w:t>
            </w:r>
          </w:p>
        </w:tc>
        <w:tc>
          <w:tcPr>
            <w:tcW w:w="1104" w:type="dxa"/>
            <w:gridSpan w:val="3"/>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2018年预算安排总计</w:t>
            </w:r>
          </w:p>
        </w:tc>
        <w:tc>
          <w:tcPr>
            <w:tcW w:w="6637" w:type="dxa"/>
            <w:gridSpan w:val="19"/>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公共财政预算拨款</w:t>
            </w:r>
          </w:p>
        </w:tc>
        <w:tc>
          <w:tcPr>
            <w:tcW w:w="1319" w:type="dxa"/>
            <w:gridSpan w:val="3"/>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政府性基金</w:t>
            </w:r>
          </w:p>
        </w:tc>
        <w:tc>
          <w:tcPr>
            <w:tcW w:w="1319" w:type="dxa"/>
            <w:gridSpan w:val="3"/>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纳入财政专户管理的行政事业性收费安排的拨款</w:t>
            </w:r>
          </w:p>
        </w:tc>
      </w:tr>
      <w:tr>
        <w:tblPrEx>
          <w:tblLayout w:type="fixed"/>
          <w:tblCellMar>
            <w:top w:w="0" w:type="dxa"/>
            <w:left w:w="0" w:type="dxa"/>
            <w:bottom w:w="0" w:type="dxa"/>
            <w:right w:w="0" w:type="dxa"/>
          </w:tblCellMar>
        </w:tblPrEx>
        <w:trPr>
          <w:gridAfter w:val="2"/>
          <w:wAfter w:w="2228" w:type="dxa"/>
          <w:trHeight w:val="54" w:hRule="atLeast"/>
        </w:trPr>
        <w:tc>
          <w:tcPr>
            <w:tcW w:w="70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科目</w:t>
            </w:r>
          </w:p>
          <w:p>
            <w:pPr>
              <w:jc w:val="center"/>
              <w:rPr>
                <w:rFonts w:ascii="仿宋" w:hAnsi="仿宋" w:eastAsia="仿宋"/>
                <w:b/>
                <w:kern w:val="0"/>
                <w:sz w:val="24"/>
              </w:rPr>
            </w:pPr>
            <w:r>
              <w:rPr>
                <w:rFonts w:hint="eastAsia" w:ascii="仿宋" w:hAnsi="仿宋" w:eastAsia="仿宋"/>
                <w:b/>
                <w:kern w:val="0"/>
                <w:sz w:val="22"/>
                <w:szCs w:val="22"/>
              </w:rPr>
              <w:t>编码</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科目名称</w:t>
            </w:r>
          </w:p>
        </w:tc>
        <w:tc>
          <w:tcPr>
            <w:tcW w:w="1104" w:type="dxa"/>
            <w:gridSpan w:val="3"/>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小计</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经费拨款</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纳入预算管理的行政性收费安排的拨款</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自治区专项转移支付</w:t>
            </w:r>
          </w:p>
        </w:tc>
        <w:tc>
          <w:tcPr>
            <w:tcW w:w="1360"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r>
              <w:rPr>
                <w:rFonts w:hint="eastAsia" w:ascii="仿宋" w:hAnsi="仿宋" w:eastAsia="仿宋"/>
                <w:b/>
                <w:kern w:val="0"/>
                <w:sz w:val="22"/>
                <w:szCs w:val="22"/>
              </w:rPr>
              <w:t>自治区一般性转移支付</w:t>
            </w:r>
          </w:p>
        </w:tc>
        <w:tc>
          <w:tcPr>
            <w:tcW w:w="1319" w:type="dxa"/>
            <w:gridSpan w:val="3"/>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c>
          <w:tcPr>
            <w:tcW w:w="1319" w:type="dxa"/>
            <w:gridSpan w:val="3"/>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b/>
                <w:kern w:val="0"/>
                <w:sz w:val="24"/>
              </w:rPr>
            </w:pPr>
          </w:p>
        </w:tc>
      </w:tr>
      <w:tr>
        <w:tblPrEx>
          <w:tblLayout w:type="fixed"/>
          <w:tblCellMar>
            <w:top w:w="0" w:type="dxa"/>
            <w:left w:w="0" w:type="dxa"/>
            <w:bottom w:w="0" w:type="dxa"/>
            <w:right w:w="0" w:type="dxa"/>
          </w:tblCellMar>
        </w:tblPrEx>
        <w:trPr>
          <w:gridAfter w:val="2"/>
          <w:wAfter w:w="2228" w:type="dxa"/>
          <w:trHeight w:val="150"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2070406</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电影</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35</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35</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35</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167"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2070108</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文化活动</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20</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20</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20</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54"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2070308</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群众体育</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87</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87</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87</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r>
              <w:rPr>
                <w:rFonts w:hint="eastAsia" w:ascii="仿宋" w:hAnsi="仿宋" w:eastAsia="仿宋"/>
                <w:kern w:val="0"/>
                <w:sz w:val="18"/>
                <w:szCs w:val="18"/>
              </w:rPr>
              <w:t>　</w:t>
            </w: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r>
              <w:rPr>
                <w:rFonts w:hint="eastAsia" w:ascii="仿宋" w:hAnsi="仿宋" w:eastAsia="仿宋"/>
                <w:kern w:val="0"/>
                <w:sz w:val="18"/>
                <w:szCs w:val="18"/>
              </w:rPr>
              <w:t>　</w:t>
            </w: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r>
              <w:rPr>
                <w:rFonts w:hint="eastAsia" w:ascii="仿宋" w:hAnsi="仿宋" w:eastAsia="仿宋"/>
                <w:kern w:val="0"/>
                <w:sz w:val="18"/>
                <w:szCs w:val="18"/>
              </w:rPr>
              <w:t>　</w:t>
            </w:r>
          </w:p>
        </w:tc>
      </w:tr>
      <w:tr>
        <w:tblPrEx>
          <w:tblLayout w:type="fixed"/>
          <w:tblCellMar>
            <w:top w:w="0" w:type="dxa"/>
            <w:left w:w="0" w:type="dxa"/>
            <w:bottom w:w="0" w:type="dxa"/>
            <w:right w:w="0" w:type="dxa"/>
          </w:tblCellMar>
        </w:tblPrEx>
        <w:trPr>
          <w:gridAfter w:val="2"/>
          <w:wAfter w:w="2228" w:type="dxa"/>
          <w:trHeight w:val="54"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2070101</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行政运行</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343.71</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343.71</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343.71</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54"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2070107</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艺术表演团体</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180</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180</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180</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54"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2070499</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其他新闻出版广播影视支出</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110</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110</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110</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54"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2070199</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其他文化支出</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455.55</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455.55</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r>
              <w:rPr>
                <w:rFonts w:hint="eastAsia" w:ascii="仿宋" w:hAnsi="仿宋" w:eastAsia="仿宋"/>
                <w:kern w:val="0"/>
                <w:sz w:val="18"/>
                <w:szCs w:val="18"/>
              </w:rPr>
              <w:t>455.55</w:t>
            </w: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54"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2070305</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体育竞赛</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30</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30</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30</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147"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2070399</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其他体育支出</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96.60</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96.6</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80</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16.6</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138"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2080504</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未归口管理的行政单位离退休</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10.75</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10.75</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10.75</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138"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2210201</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住房公积金</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27.22</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27.22</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27.22</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138"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2080506</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机关事业单位职业年金缴费支</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138"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2101101</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行政单位医疗</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54"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2080505</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机关事业单位基本养老保险缴</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43.40</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43.40</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43.40</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gridAfter w:val="2"/>
          <w:wAfter w:w="2228" w:type="dxa"/>
          <w:trHeight w:val="54" w:hRule="atLeast"/>
        </w:trPr>
        <w:tc>
          <w:tcPr>
            <w:tcW w:w="707"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kern w:val="0"/>
                <w:sz w:val="18"/>
                <w:szCs w:val="18"/>
              </w:rPr>
            </w:pPr>
            <w:r>
              <w:rPr>
                <w:rFonts w:hint="eastAsia" w:ascii="仿宋" w:hAnsi="仿宋" w:eastAsia="仿宋"/>
                <w:kern w:val="0"/>
                <w:sz w:val="18"/>
                <w:szCs w:val="18"/>
              </w:rPr>
              <w:t>2101103</w:t>
            </w:r>
          </w:p>
        </w:tc>
        <w:tc>
          <w:tcPr>
            <w:tcW w:w="2569" w:type="dxa"/>
            <w:gridSpan w:val="5"/>
            <w:tcBorders>
              <w:top w:val="single" w:color="auto" w:sz="8" w:space="0"/>
              <w:left w:val="single" w:color="auto" w:sz="8" w:space="0"/>
              <w:bottom w:val="single" w:color="auto" w:sz="8" w:space="0"/>
              <w:right w:val="single" w:color="auto" w:sz="8" w:space="0"/>
            </w:tcBorders>
            <w:vAlign w:val="center"/>
          </w:tcPr>
          <w:p>
            <w:pPr>
              <w:spacing w:line="320" w:lineRule="exact"/>
              <w:jc w:val="left"/>
              <w:rPr>
                <w:rFonts w:ascii="仿宋" w:hAnsi="仿宋" w:eastAsia="仿宋"/>
                <w:kern w:val="0"/>
                <w:sz w:val="18"/>
                <w:szCs w:val="18"/>
              </w:rPr>
            </w:pPr>
            <w:r>
              <w:rPr>
                <w:rFonts w:hint="eastAsia" w:ascii="仿宋" w:hAnsi="仿宋" w:eastAsia="仿宋"/>
                <w:kern w:val="0"/>
                <w:sz w:val="18"/>
                <w:szCs w:val="18"/>
              </w:rPr>
              <w:t>公务员医疗补助</w:t>
            </w:r>
          </w:p>
        </w:tc>
        <w:tc>
          <w:tcPr>
            <w:tcW w:w="1104"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320" w:type="dxa"/>
            <w:gridSpan w:val="3"/>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319" w:type="dxa"/>
            <w:gridSpan w:val="5"/>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319" w:type="dxa"/>
            <w:gridSpan w:val="4"/>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p>
        </w:tc>
        <w:tc>
          <w:tcPr>
            <w:tcW w:w="1319" w:type="dxa"/>
            <w:gridSpan w:val="4"/>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60"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19" w:type="dxa"/>
            <w:gridSpan w:val="3"/>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108" w:type="dxa"/>
            <w:bottom w:w="0" w:type="dxa"/>
            <w:right w:w="108" w:type="dxa"/>
          </w:tblCellMar>
        </w:tblPrEx>
        <w:trPr>
          <w:gridAfter w:val="3"/>
          <w:wAfter w:w="2299" w:type="dxa"/>
          <w:trHeight w:val="185" w:hRule="atLeast"/>
        </w:trPr>
        <w:tc>
          <w:tcPr>
            <w:tcW w:w="6119" w:type="dxa"/>
            <w:gridSpan w:val="15"/>
            <w:tcBorders>
              <w:top w:val="nil"/>
              <w:left w:val="nil"/>
              <w:bottom w:val="nil"/>
              <w:right w:val="nil"/>
            </w:tcBorders>
          </w:tcPr>
          <w:p>
            <w:pPr>
              <w:rPr>
                <w:rFonts w:ascii="宋体" w:hAnsi="宋体" w:cs="宋体"/>
                <w:color w:val="000000"/>
                <w:kern w:val="0"/>
                <w:sz w:val="22"/>
                <w:szCs w:val="22"/>
              </w:rPr>
            </w:pPr>
            <w:r>
              <w:rPr>
                <w:rFonts w:hint="eastAsia" w:ascii="黑体" w:hAnsi="黑体" w:eastAsia="黑体"/>
                <w:kern w:val="0"/>
                <w:sz w:val="32"/>
                <w:szCs w:val="32"/>
              </w:rPr>
              <w:t>三、一般公共预算支出表</w:t>
            </w:r>
          </w:p>
        </w:tc>
        <w:tc>
          <w:tcPr>
            <w:tcW w:w="1573"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72"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38"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682" w:type="dxa"/>
            <w:gridSpan w:val="6"/>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gridAfter w:val="3"/>
          <w:wAfter w:w="2299" w:type="dxa"/>
          <w:trHeight w:val="185" w:hRule="atLeast"/>
        </w:trPr>
        <w:tc>
          <w:tcPr>
            <w:tcW w:w="13584" w:type="dxa"/>
            <w:gridSpan w:val="33"/>
            <w:tcBorders>
              <w:top w:val="nil"/>
              <w:left w:val="nil"/>
              <w:bottom w:val="nil"/>
              <w:right w:val="nil"/>
            </w:tcBorders>
          </w:tcPr>
          <w:p>
            <w:pPr>
              <w:jc w:val="center"/>
              <w:rPr>
                <w:rFonts w:ascii="仿宋" w:hAnsi="仿宋" w:eastAsia="仿宋"/>
                <w:b/>
                <w:kern w:val="0"/>
                <w:sz w:val="36"/>
                <w:szCs w:val="36"/>
              </w:rPr>
            </w:pPr>
            <w:r>
              <w:rPr>
                <w:rFonts w:hint="eastAsia" w:ascii="仿宋" w:hAnsi="仿宋" w:eastAsia="仿宋"/>
                <w:b/>
                <w:kern w:val="0"/>
                <w:sz w:val="36"/>
                <w:szCs w:val="36"/>
              </w:rPr>
              <w:t>一般公共预算支出表</w:t>
            </w:r>
          </w:p>
        </w:tc>
      </w:tr>
      <w:tr>
        <w:tblPrEx>
          <w:tblLayout w:type="fixed"/>
          <w:tblCellMar>
            <w:top w:w="0" w:type="dxa"/>
            <w:left w:w="108" w:type="dxa"/>
            <w:bottom w:w="0" w:type="dxa"/>
            <w:right w:w="108" w:type="dxa"/>
          </w:tblCellMar>
        </w:tblPrEx>
        <w:trPr>
          <w:gridAfter w:val="1"/>
          <w:wAfter w:w="2207" w:type="dxa"/>
          <w:trHeight w:val="185" w:hRule="atLeast"/>
        </w:trPr>
        <w:tc>
          <w:tcPr>
            <w:tcW w:w="1886"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37"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680" w:type="dxa"/>
            <w:gridSpan w:val="4"/>
            <w:tcBorders>
              <w:top w:val="nil"/>
              <w:left w:val="nil"/>
              <w:bottom w:val="single" w:color="auto" w:sz="4" w:space="0"/>
              <w:right w:val="nil"/>
            </w:tcBorders>
          </w:tcPr>
          <w:p>
            <w:pPr>
              <w:widowControl/>
              <w:jc w:val="left"/>
              <w:rPr>
                <w:rFonts w:ascii="宋体" w:hAnsi="宋体" w:cs="宋体"/>
                <w:color w:val="000000"/>
                <w:kern w:val="0"/>
                <w:sz w:val="22"/>
                <w:szCs w:val="22"/>
              </w:rPr>
            </w:pPr>
          </w:p>
        </w:tc>
        <w:tc>
          <w:tcPr>
            <w:tcW w:w="916"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573"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817" w:type="dxa"/>
            <w:gridSpan w:val="7"/>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608"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2559" w:type="dxa"/>
            <w:gridSpan w:val="6"/>
            <w:tcBorders>
              <w:top w:val="nil"/>
              <w:left w:val="nil"/>
              <w:bottom w:val="nil"/>
              <w:right w:val="nil"/>
            </w:tcBorders>
            <w:shd w:val="clear" w:color="auto" w:fill="auto"/>
            <w:vAlign w:val="center"/>
          </w:tcPr>
          <w:p>
            <w:pPr>
              <w:rPr>
                <w:rFonts w:ascii="宋体" w:hAnsi="宋体" w:cs="宋体"/>
                <w:color w:val="000000"/>
                <w:kern w:val="0"/>
                <w:sz w:val="22"/>
                <w:szCs w:val="22"/>
              </w:rPr>
            </w:pPr>
            <w:r>
              <w:rPr>
                <w:rFonts w:hint="eastAsia" w:ascii="仿宋" w:hAnsi="仿宋" w:eastAsia="仿宋"/>
                <w:kern w:val="0"/>
                <w:sz w:val="28"/>
                <w:szCs w:val="28"/>
              </w:rPr>
              <w:t>单位：万元</w:t>
            </w:r>
          </w:p>
        </w:tc>
      </w:tr>
      <w:tr>
        <w:tblPrEx>
          <w:tblLayout w:type="fixed"/>
          <w:tblCellMar>
            <w:top w:w="0" w:type="dxa"/>
            <w:left w:w="108" w:type="dxa"/>
            <w:bottom w:w="0" w:type="dxa"/>
            <w:right w:w="108" w:type="dxa"/>
          </w:tblCellMar>
        </w:tblPrEx>
        <w:trPr>
          <w:gridAfter w:val="3"/>
          <w:wAfter w:w="2299" w:type="dxa"/>
          <w:trHeight w:val="185" w:hRule="atLeast"/>
        </w:trPr>
        <w:tc>
          <w:tcPr>
            <w:tcW w:w="3523"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功能分类科目</w:t>
            </w:r>
          </w:p>
        </w:tc>
        <w:tc>
          <w:tcPr>
            <w:tcW w:w="1680" w:type="dxa"/>
            <w:gridSpan w:val="4"/>
            <w:vMerge w:val="restart"/>
            <w:tcBorders>
              <w:top w:val="single" w:color="auto" w:sz="4" w:space="0"/>
              <w:left w:val="nil"/>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2017年执行数</w:t>
            </w:r>
          </w:p>
        </w:tc>
        <w:tc>
          <w:tcPr>
            <w:tcW w:w="5306" w:type="dxa"/>
            <w:gridSpan w:val="1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w:t>
            </w:r>
          </w:p>
        </w:tc>
        <w:tc>
          <w:tcPr>
            <w:tcW w:w="3075"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2018年预算数与</w:t>
            </w:r>
          </w:p>
          <w:p>
            <w:pPr>
              <w:jc w:val="center"/>
              <w:rPr>
                <w:rFonts w:ascii="仿宋" w:hAnsi="仿宋" w:eastAsia="仿宋"/>
                <w:b/>
                <w:kern w:val="0"/>
                <w:sz w:val="22"/>
                <w:szCs w:val="22"/>
              </w:rPr>
            </w:pPr>
            <w:r>
              <w:rPr>
                <w:rFonts w:hint="eastAsia" w:ascii="仿宋" w:hAnsi="仿宋" w:eastAsia="仿宋"/>
                <w:b/>
                <w:kern w:val="0"/>
                <w:sz w:val="22"/>
                <w:szCs w:val="22"/>
              </w:rPr>
              <w:t>2017年执行数</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w:t>
            </w:r>
          </w:p>
          <w:p>
            <w:pPr>
              <w:jc w:val="center"/>
              <w:rPr>
                <w:rFonts w:ascii="仿宋" w:hAnsi="仿宋" w:eastAsia="仿宋"/>
                <w:b/>
                <w:kern w:val="0"/>
                <w:sz w:val="22"/>
                <w:szCs w:val="22"/>
              </w:rPr>
            </w:pPr>
            <w:r>
              <w:rPr>
                <w:rFonts w:hint="eastAsia" w:ascii="仿宋" w:hAnsi="仿宋" w:eastAsia="仿宋"/>
                <w:b/>
                <w:kern w:val="0"/>
                <w:sz w:val="22"/>
                <w:szCs w:val="22"/>
              </w:rPr>
              <w:t>编码</w:t>
            </w:r>
          </w:p>
        </w:tc>
        <w:tc>
          <w:tcPr>
            <w:tcW w:w="2672"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680" w:type="dxa"/>
            <w:gridSpan w:val="4"/>
            <w:vMerge w:val="continue"/>
            <w:tcBorders>
              <w:left w:val="nil"/>
              <w:bottom w:val="single" w:color="auto" w:sz="4" w:space="0"/>
              <w:right w:val="single" w:color="auto" w:sz="4" w:space="0"/>
            </w:tcBorders>
          </w:tcPr>
          <w:p>
            <w:pPr>
              <w:jc w:val="center"/>
              <w:rPr>
                <w:rFonts w:ascii="仿宋" w:hAnsi="仿宋" w:eastAsia="仿宋"/>
                <w:b/>
                <w:kern w:val="0"/>
                <w:sz w:val="22"/>
                <w:szCs w:val="22"/>
              </w:rPr>
            </w:pP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合计</w:t>
            </w:r>
          </w:p>
        </w:tc>
        <w:tc>
          <w:tcPr>
            <w:tcW w:w="1787" w:type="dxa"/>
            <w:gridSpan w:val="6"/>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182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c>
          <w:tcPr>
            <w:tcW w:w="1541" w:type="dxa"/>
            <w:gridSpan w:val="4"/>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增减额</w:t>
            </w:r>
          </w:p>
        </w:tc>
        <w:tc>
          <w:tcPr>
            <w:tcW w:w="1534" w:type="dxa"/>
            <w:gridSpan w:val="3"/>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增减%</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2050199</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其他教育管理事务支出</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13.21</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-13.21</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2070406</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电影</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71.59</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35.00　</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　</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35.00　</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-36.59</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-51.11%　</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2070108</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文化活动</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0.00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20.00</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20.00</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2070308</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群众体育</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82.11</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87.00</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87.00</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4.89</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5.95%</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2070101</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行政运行</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353.27</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343.71</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343.71</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-9.56</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-20.71%</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2070104</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图书馆</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20.00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2070107</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艺术表演团体</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431.00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180.00</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180.00</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-251</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-58.24%</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2070111</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文化创作与保护</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24.00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-24</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2070499</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其他新闻出版广播影视支出</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6.20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110.00</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110.00</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103.8</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1674.19%</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2070199</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其他文化支出</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576.00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455.55</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　</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455.55</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-120.45</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-20.91%　</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2070206</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历史名城与古迹</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0.8</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-0.8</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2070305</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体育竞赛</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0.00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30.00　</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　</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30.00　</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30</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　</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2070307</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体育场馆</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5.00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-5</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2070399</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其他体育支出</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18.59</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96.60</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　</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96.60</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78.01</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419.63%　</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2079999</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其他文化体育与传媒支出</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145.00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-145</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2080504</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未归口管理的行政单位离退休</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31.50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10.75</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10.75</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-20.75</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-65.87%　</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2210201</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住房公积金</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36.30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27.22</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27.22</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-9.08</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-25.01%　</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2080506</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机关事业单位职业年金缴费支</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17.36</w:t>
            </w: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17.36</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2082702</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财政对工伤保险基金的补助</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0.49</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-0.49</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2082703</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财政对生育保险基金的补助</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0.59</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787" w:type="dxa"/>
            <w:gridSpan w:val="6"/>
            <w:tcBorders>
              <w:top w:val="nil"/>
              <w:left w:val="nil"/>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-0.59</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2101101</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行政单位医疗</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787" w:type="dxa"/>
            <w:gridSpan w:val="6"/>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　</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2101201</w:t>
            </w:r>
          </w:p>
        </w:tc>
        <w:tc>
          <w:tcPr>
            <w:tcW w:w="2672" w:type="dxa"/>
            <w:gridSpan w:val="5"/>
            <w:tcBorders>
              <w:top w:val="nil"/>
              <w:left w:val="nil"/>
              <w:bottom w:val="single" w:color="auto" w:sz="4" w:space="0"/>
              <w:right w:val="single" w:color="auto" w:sz="4" w:space="0"/>
            </w:tcBorders>
            <w:shd w:val="clear" w:color="auto" w:fill="auto"/>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财政对城镇职工基本医疗保险补助</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17.07</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787" w:type="dxa"/>
            <w:gridSpan w:val="6"/>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-17.07</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2082602</w:t>
            </w:r>
          </w:p>
        </w:tc>
        <w:tc>
          <w:tcPr>
            <w:tcW w:w="2672" w:type="dxa"/>
            <w:gridSpan w:val="5"/>
            <w:tcBorders>
              <w:top w:val="nil"/>
              <w:left w:val="nil"/>
              <w:bottom w:val="single" w:color="auto" w:sz="4" w:space="0"/>
              <w:right w:val="single" w:color="auto" w:sz="4" w:space="0"/>
            </w:tcBorders>
            <w:shd w:val="clear" w:color="auto" w:fill="auto"/>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财政对城乡居民基本养老保险基金的补助</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38.91</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787" w:type="dxa"/>
            <w:gridSpan w:val="6"/>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-38.91</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2080505</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机关事业单位基本养老保险缴</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43.39</w:t>
            </w:r>
          </w:p>
        </w:tc>
        <w:tc>
          <w:tcPr>
            <w:tcW w:w="1787" w:type="dxa"/>
            <w:gridSpan w:val="6"/>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43.39</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43.39</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　</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2101103</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公务员医疗补助</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8.63</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787" w:type="dxa"/>
            <w:gridSpan w:val="6"/>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4.7</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54.46%　</w:t>
            </w:r>
          </w:p>
        </w:tc>
      </w:tr>
      <w:tr>
        <w:tblPrEx>
          <w:tblLayout w:type="fixed"/>
          <w:tblCellMar>
            <w:top w:w="0" w:type="dxa"/>
            <w:left w:w="108" w:type="dxa"/>
            <w:bottom w:w="0" w:type="dxa"/>
            <w:right w:w="108" w:type="dxa"/>
          </w:tblCellMar>
        </w:tblPrEx>
        <w:trPr>
          <w:gridAfter w:val="3"/>
          <w:wAfter w:w="2299" w:type="dxa"/>
          <w:trHeight w:val="35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kern w:val="0"/>
                <w:sz w:val="18"/>
                <w:szCs w:val="18"/>
              </w:rPr>
            </w:pPr>
            <w:r>
              <w:rPr>
                <w:rFonts w:hint="eastAsia" w:ascii="仿宋" w:hAnsi="仿宋" w:eastAsia="仿宋"/>
                <w:kern w:val="0"/>
                <w:sz w:val="18"/>
                <w:szCs w:val="18"/>
              </w:rPr>
              <w:t>2120399</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其他城乡社区公共设施支出</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321.00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　</w:t>
            </w:r>
          </w:p>
        </w:tc>
        <w:tc>
          <w:tcPr>
            <w:tcW w:w="1787" w:type="dxa"/>
            <w:gridSpan w:val="6"/>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-321</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　</w:t>
            </w:r>
          </w:p>
        </w:tc>
      </w:tr>
      <w:tr>
        <w:tblPrEx>
          <w:tblLayout w:type="fixed"/>
          <w:tblCellMar>
            <w:top w:w="0" w:type="dxa"/>
            <w:left w:w="108" w:type="dxa"/>
            <w:bottom w:w="0" w:type="dxa"/>
            <w:right w:w="108" w:type="dxa"/>
          </w:tblCellMar>
        </w:tblPrEx>
        <w:trPr>
          <w:gridAfter w:val="3"/>
          <w:wAfter w:w="2299" w:type="dxa"/>
          <w:trHeight w:val="185"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kern w:val="0"/>
                <w:sz w:val="18"/>
                <w:szCs w:val="18"/>
              </w:rPr>
            </w:pPr>
            <w:r>
              <w:rPr>
                <w:rFonts w:hint="eastAsia" w:ascii="仿宋" w:hAnsi="仿宋" w:eastAsia="仿宋"/>
                <w:kern w:val="0"/>
                <w:sz w:val="18"/>
                <w:szCs w:val="18"/>
              </w:rPr>
              <w:t>2160599　</w:t>
            </w:r>
          </w:p>
        </w:tc>
        <w:tc>
          <w:tcPr>
            <w:tcW w:w="2672"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其他旅游业管理与服务支出</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6.30</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r>
              <w:rPr>
                <w:rFonts w:hint="eastAsia" w:ascii="仿宋" w:hAnsi="仿宋" w:eastAsia="仿宋"/>
                <w:kern w:val="0"/>
                <w:sz w:val="18"/>
                <w:szCs w:val="18"/>
              </w:rPr>
              <w:t>　</w:t>
            </w:r>
          </w:p>
        </w:tc>
        <w:tc>
          <w:tcPr>
            <w:tcW w:w="1787" w:type="dxa"/>
            <w:gridSpan w:val="6"/>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-6.3</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　</w:t>
            </w:r>
          </w:p>
        </w:tc>
      </w:tr>
      <w:tr>
        <w:tblPrEx>
          <w:tblLayout w:type="fixed"/>
          <w:tblCellMar>
            <w:top w:w="0" w:type="dxa"/>
            <w:left w:w="108" w:type="dxa"/>
            <w:bottom w:w="0" w:type="dxa"/>
            <w:right w:w="108" w:type="dxa"/>
          </w:tblCellMar>
        </w:tblPrEx>
        <w:trPr>
          <w:gridAfter w:val="3"/>
          <w:wAfter w:w="2299" w:type="dxa"/>
          <w:trHeight w:val="434" w:hRule="atLeast"/>
        </w:trPr>
        <w:tc>
          <w:tcPr>
            <w:tcW w:w="851" w:type="dxa"/>
            <w:gridSpan w:val="2"/>
            <w:tcBorders>
              <w:top w:val="nil"/>
              <w:left w:val="single" w:color="auto" w:sz="4" w:space="0"/>
              <w:bottom w:val="single" w:color="auto" w:sz="4" w:space="0"/>
              <w:right w:val="single" w:color="auto" w:sz="4" w:space="0"/>
            </w:tcBorders>
            <w:shd w:val="clear" w:color="auto" w:fill="auto"/>
            <w:vAlign w:val="center"/>
          </w:tcPr>
          <w:p>
            <w:pPr>
              <w:spacing w:line="360" w:lineRule="exact"/>
              <w:jc w:val="center"/>
              <w:rPr>
                <w:rFonts w:ascii="仿宋" w:hAnsi="仿宋" w:eastAsia="仿宋"/>
                <w:kern w:val="0"/>
                <w:sz w:val="18"/>
                <w:szCs w:val="18"/>
              </w:rPr>
            </w:pPr>
            <w:r>
              <w:rPr>
                <w:rFonts w:hint="eastAsia" w:ascii="仿宋" w:hAnsi="仿宋" w:eastAsia="仿宋"/>
                <w:kern w:val="0"/>
                <w:sz w:val="18"/>
                <w:szCs w:val="18"/>
              </w:rPr>
              <w:t>2296003</w:t>
            </w:r>
          </w:p>
        </w:tc>
        <w:tc>
          <w:tcPr>
            <w:tcW w:w="2672" w:type="dxa"/>
            <w:gridSpan w:val="5"/>
            <w:tcBorders>
              <w:top w:val="nil"/>
              <w:left w:val="nil"/>
              <w:bottom w:val="single" w:color="auto" w:sz="4" w:space="0"/>
              <w:right w:val="single" w:color="auto" w:sz="4" w:space="0"/>
            </w:tcBorders>
            <w:shd w:val="clear" w:color="auto" w:fill="auto"/>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用于体育事业的彩票公益金支出</w:t>
            </w:r>
          </w:p>
        </w:tc>
        <w:tc>
          <w:tcPr>
            <w:tcW w:w="1680" w:type="dxa"/>
            <w:gridSpan w:val="4"/>
            <w:tcBorders>
              <w:top w:val="single" w:color="auto" w:sz="4" w:space="0"/>
              <w:left w:val="nil"/>
              <w:bottom w:val="single" w:color="auto" w:sz="4" w:space="0"/>
              <w:right w:val="single" w:color="auto" w:sz="4" w:space="0"/>
            </w:tcBorders>
          </w:tcPr>
          <w:p>
            <w:pPr>
              <w:spacing w:line="360" w:lineRule="exact"/>
              <w:jc w:val="right"/>
              <w:rPr>
                <w:rFonts w:ascii="仿宋" w:hAnsi="仿宋" w:eastAsia="仿宋"/>
                <w:kern w:val="0"/>
                <w:sz w:val="18"/>
                <w:szCs w:val="18"/>
              </w:rPr>
            </w:pPr>
            <w:r>
              <w:rPr>
                <w:rFonts w:hint="eastAsia" w:ascii="仿宋" w:hAnsi="仿宋" w:eastAsia="仿宋"/>
                <w:kern w:val="0"/>
                <w:sz w:val="18"/>
                <w:szCs w:val="18"/>
              </w:rPr>
              <w:t>118.03</w:t>
            </w:r>
          </w:p>
        </w:tc>
        <w:tc>
          <w:tcPr>
            <w:tcW w:w="1698" w:type="dxa"/>
            <w:gridSpan w:val="5"/>
            <w:tcBorders>
              <w:top w:val="nil"/>
              <w:left w:val="single" w:color="auto" w:sz="4" w:space="0"/>
              <w:bottom w:val="single" w:color="auto" w:sz="4" w:space="0"/>
              <w:right w:val="single" w:color="auto" w:sz="4" w:space="0"/>
            </w:tcBorders>
            <w:shd w:val="clear" w:color="auto" w:fill="auto"/>
            <w:vAlign w:val="center"/>
          </w:tcPr>
          <w:p>
            <w:pPr>
              <w:spacing w:line="360" w:lineRule="exact"/>
              <w:jc w:val="right"/>
              <w:rPr>
                <w:rFonts w:ascii="仿宋" w:hAnsi="仿宋" w:eastAsia="仿宋"/>
                <w:kern w:val="0"/>
                <w:sz w:val="18"/>
                <w:szCs w:val="18"/>
              </w:rPr>
            </w:pPr>
          </w:p>
        </w:tc>
        <w:tc>
          <w:tcPr>
            <w:tcW w:w="1787" w:type="dxa"/>
            <w:gridSpan w:val="6"/>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82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541"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-118.03</w:t>
            </w:r>
          </w:p>
        </w:tc>
        <w:tc>
          <w:tcPr>
            <w:tcW w:w="1534" w:type="dxa"/>
            <w:gridSpan w:val="3"/>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r>
      <w:tr>
        <w:tblPrEx>
          <w:tblLayout w:type="fixed"/>
          <w:tblCellMar>
            <w:top w:w="0" w:type="dxa"/>
            <w:left w:w="108" w:type="dxa"/>
            <w:bottom w:w="0" w:type="dxa"/>
            <w:right w:w="108" w:type="dxa"/>
          </w:tblCellMar>
        </w:tblPrEx>
        <w:trPr>
          <w:gridAfter w:val="4"/>
          <w:wAfter w:w="2433" w:type="dxa"/>
          <w:trHeight w:val="100" w:hRule="atLeast"/>
        </w:trPr>
        <w:tc>
          <w:tcPr>
            <w:tcW w:w="13450" w:type="dxa"/>
            <w:gridSpan w:val="32"/>
            <w:tcBorders>
              <w:top w:val="nil"/>
              <w:left w:val="nil"/>
              <w:bottom w:val="nil"/>
              <w:right w:val="nil"/>
            </w:tcBorders>
            <w:shd w:val="clear" w:color="auto" w:fill="auto"/>
            <w:vAlign w:val="center"/>
          </w:tcPr>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r>
              <w:rPr>
                <w:rFonts w:hint="eastAsia" w:ascii="黑体" w:hAnsi="黑体" w:eastAsia="黑体"/>
                <w:kern w:val="0"/>
                <w:sz w:val="32"/>
                <w:szCs w:val="32"/>
              </w:rPr>
              <w:t>四、一般公共预算财政拨款支出部门经济分类科目表</w:t>
            </w:r>
          </w:p>
        </w:tc>
      </w:tr>
      <w:tr>
        <w:tblPrEx>
          <w:tblLayout w:type="fixed"/>
          <w:tblCellMar>
            <w:top w:w="0" w:type="dxa"/>
            <w:left w:w="108" w:type="dxa"/>
            <w:bottom w:w="0" w:type="dxa"/>
            <w:right w:w="108" w:type="dxa"/>
          </w:tblCellMar>
        </w:tblPrEx>
        <w:trPr>
          <w:gridAfter w:val="4"/>
          <w:wAfter w:w="2433" w:type="dxa"/>
          <w:trHeight w:val="100" w:hRule="atLeast"/>
        </w:trPr>
        <w:tc>
          <w:tcPr>
            <w:tcW w:w="13450" w:type="dxa"/>
            <w:gridSpan w:val="32"/>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b/>
                <w:kern w:val="0"/>
                <w:sz w:val="32"/>
                <w:szCs w:val="32"/>
              </w:rPr>
              <w:t>一般公共预算基本支出和项目支出部门经济分类科目表</w:t>
            </w:r>
          </w:p>
        </w:tc>
      </w:tr>
      <w:tr>
        <w:tblPrEx>
          <w:tblLayout w:type="fixed"/>
          <w:tblCellMar>
            <w:top w:w="0" w:type="dxa"/>
            <w:left w:w="108" w:type="dxa"/>
            <w:bottom w:w="0" w:type="dxa"/>
            <w:right w:w="108" w:type="dxa"/>
          </w:tblCellMar>
        </w:tblPrEx>
        <w:trPr>
          <w:gridAfter w:val="4"/>
          <w:wAfter w:w="2433" w:type="dxa"/>
          <w:trHeight w:val="100" w:hRule="atLeast"/>
        </w:trPr>
        <w:tc>
          <w:tcPr>
            <w:tcW w:w="1989" w:type="dxa"/>
            <w:gridSpan w:val="5"/>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998"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32"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032"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 w:val="22"/>
                <w:szCs w:val="22"/>
              </w:rPr>
            </w:pPr>
          </w:p>
        </w:tc>
        <w:tc>
          <w:tcPr>
            <w:tcW w:w="1998" w:type="dxa"/>
            <w:gridSpan w:val="6"/>
            <w:tcBorders>
              <w:top w:val="nil"/>
              <w:left w:val="nil"/>
              <w:bottom w:val="nil"/>
              <w:right w:val="nil"/>
            </w:tcBorders>
            <w:shd w:val="clear" w:color="auto" w:fill="auto"/>
            <w:vAlign w:val="center"/>
          </w:tcPr>
          <w:p>
            <w:pPr>
              <w:widowControl/>
              <w:jc w:val="center"/>
              <w:rPr>
                <w:rFonts w:ascii="宋体" w:hAnsi="宋体" w:cs="宋体"/>
                <w:color w:val="000000"/>
                <w:kern w:val="0"/>
                <w:sz w:val="22"/>
                <w:szCs w:val="22"/>
              </w:rPr>
            </w:pPr>
          </w:p>
        </w:tc>
        <w:tc>
          <w:tcPr>
            <w:tcW w:w="5401" w:type="dxa"/>
            <w:gridSpan w:val="12"/>
            <w:tcBorders>
              <w:top w:val="nil"/>
              <w:left w:val="nil"/>
              <w:bottom w:val="nil"/>
              <w:right w:val="nil"/>
            </w:tcBorders>
            <w:shd w:val="clear" w:color="auto" w:fill="auto"/>
            <w:vAlign w:val="center"/>
          </w:tcPr>
          <w:p>
            <w:pPr>
              <w:jc w:val="center"/>
              <w:rPr>
                <w:rFonts w:ascii="宋体" w:hAnsi="宋体" w:cs="宋体"/>
                <w:color w:val="000000"/>
                <w:kern w:val="0"/>
                <w:sz w:val="22"/>
                <w:szCs w:val="22"/>
              </w:rPr>
            </w:pPr>
            <w:r>
              <w:rPr>
                <w:rFonts w:hint="eastAsia" w:ascii="仿宋" w:hAnsi="仿宋" w:eastAsia="仿宋"/>
                <w:kern w:val="0"/>
                <w:sz w:val="28"/>
                <w:szCs w:val="28"/>
              </w:rPr>
              <w:t xml:space="preserve">                      单位：万元</w:t>
            </w:r>
          </w:p>
        </w:tc>
      </w:tr>
      <w:tr>
        <w:tblPrEx>
          <w:tblLayout w:type="fixed"/>
          <w:tblCellMar>
            <w:top w:w="0" w:type="dxa"/>
            <w:left w:w="108" w:type="dxa"/>
            <w:bottom w:w="0" w:type="dxa"/>
            <w:right w:w="108" w:type="dxa"/>
          </w:tblCellMar>
        </w:tblPrEx>
        <w:trPr>
          <w:gridAfter w:val="4"/>
          <w:wAfter w:w="2433" w:type="dxa"/>
          <w:trHeight w:val="162" w:hRule="atLeast"/>
        </w:trPr>
        <w:tc>
          <w:tcPr>
            <w:tcW w:w="3987"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部门经济分类科目</w:t>
            </w:r>
          </w:p>
        </w:tc>
        <w:tc>
          <w:tcPr>
            <w:tcW w:w="9463" w:type="dxa"/>
            <w:gridSpan w:val="24"/>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一般公共预算财政拨款支出</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科目编码</w:t>
            </w:r>
          </w:p>
        </w:tc>
        <w:tc>
          <w:tcPr>
            <w:tcW w:w="2719" w:type="dxa"/>
            <w:gridSpan w:val="5"/>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科目名称</w:t>
            </w:r>
          </w:p>
        </w:tc>
        <w:tc>
          <w:tcPr>
            <w:tcW w:w="1900" w:type="dxa"/>
            <w:gridSpan w:val="5"/>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2018年预算安排总计</w:t>
            </w:r>
          </w:p>
        </w:tc>
        <w:tc>
          <w:tcPr>
            <w:tcW w:w="5130" w:type="dxa"/>
            <w:gridSpan w:val="15"/>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2433" w:type="dxa"/>
            <w:gridSpan w:val="4"/>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2719" w:type="dxa"/>
            <w:gridSpan w:val="5"/>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900" w:type="dxa"/>
            <w:gridSpan w:val="5"/>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c>
          <w:tcPr>
            <w:tcW w:w="154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小计</w:t>
            </w:r>
          </w:p>
        </w:tc>
        <w:tc>
          <w:tcPr>
            <w:tcW w:w="168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人员支出</w:t>
            </w:r>
          </w:p>
        </w:tc>
        <w:tc>
          <w:tcPr>
            <w:tcW w:w="1908"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日常公用支出</w:t>
            </w:r>
          </w:p>
        </w:tc>
        <w:tc>
          <w:tcPr>
            <w:tcW w:w="2433" w:type="dxa"/>
            <w:gridSpan w:val="4"/>
            <w:vMerge w:val="continue"/>
            <w:tcBorders>
              <w:top w:val="nil"/>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30299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kern w:val="0"/>
                <w:sz w:val="18"/>
                <w:szCs w:val="18"/>
              </w:rPr>
            </w:pPr>
            <w:r>
              <w:rPr>
                <w:rFonts w:hint="eastAsia" w:ascii="仿宋" w:hAnsi="仿宋" w:eastAsia="仿宋"/>
                <w:kern w:val="0"/>
                <w:sz w:val="18"/>
                <w:szCs w:val="18"/>
              </w:rPr>
              <w:t>电影放映员生活补助</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35.00　</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68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1908"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r>
              <w:rPr>
                <w:rFonts w:hint="eastAsia" w:ascii="仿宋" w:hAnsi="仿宋" w:eastAsia="仿宋"/>
                <w:b/>
                <w:kern w:val="0"/>
                <w:sz w:val="22"/>
                <w:szCs w:val="22"/>
              </w:rPr>
              <w:t>　</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35.00　</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30299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文化活动</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20.00</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68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08"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20.00</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30299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群众体育</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87.00</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681"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1908" w:type="dxa"/>
            <w:gridSpan w:val="5"/>
            <w:tcBorders>
              <w:top w:val="nil"/>
              <w:left w:val="nil"/>
              <w:bottom w:val="single" w:color="auto" w:sz="4" w:space="0"/>
              <w:right w:val="single" w:color="auto" w:sz="4" w:space="0"/>
            </w:tcBorders>
            <w:shd w:val="clear" w:color="auto" w:fill="auto"/>
            <w:vAlign w:val="center"/>
          </w:tcPr>
          <w:p>
            <w:pPr>
              <w:jc w:val="center"/>
              <w:rPr>
                <w:rFonts w:ascii="仿宋" w:hAnsi="仿宋" w:eastAsia="仿宋"/>
                <w:b/>
                <w:kern w:val="0"/>
                <w:sz w:val="22"/>
                <w:szCs w:val="22"/>
              </w:rPr>
            </w:pP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87.00</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30101</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基本工资</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137.44</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137.44</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137.44</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30102</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津贴补贴</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81.66</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81.66</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81.66</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30103</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奖金</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7.69</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7.69</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7.69</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30107</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绩效工资</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26.64</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26.64</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26.64</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30112</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其他社会保障缴费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2.56</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2.56</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2.56</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30199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其他工资福利支出</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51.8</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51.8</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51.8</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30201</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办公费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0.5</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0.5</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0.5</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30205</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水费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30206</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电费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3.00</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3.00</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3.00</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30207</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邮电费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1.00</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30208</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办公用房取暖费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14.01</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14.01</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14.01</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30211</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差旅费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2.00</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2.00</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2.00</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30216</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培训费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0.8</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0.8</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0.8</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30217</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公务接待费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0.5</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0.5</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0.5</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30226</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劳务费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0.5</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0.5</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0.5</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30239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其他交通费用</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12.49</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12.49</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12.49</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30299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其他商品和服务支出</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0.1</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0.1</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0.1</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30299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演艺公司人员补贴</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180.00</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180.00</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30299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百村广电惠民、户户通工程维护</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110.00</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110.00</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30299</w:t>
            </w:r>
          </w:p>
        </w:tc>
        <w:tc>
          <w:tcPr>
            <w:tcW w:w="2719" w:type="dxa"/>
            <w:gridSpan w:val="5"/>
            <w:tcBorders>
              <w:top w:val="nil"/>
              <w:left w:val="nil"/>
              <w:bottom w:val="single" w:color="auto" w:sz="4" w:space="0"/>
              <w:right w:val="single" w:color="auto" w:sz="4" w:space="0"/>
            </w:tcBorders>
            <w:shd w:val="clear" w:color="auto" w:fill="auto"/>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中央方公共文化服务及文化馆、图书馆、各镇文化站免费开放(自治区专项转移支付)</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455.55</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455.55</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30299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第十五届运动会</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30.00　</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30.00　</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30299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体育活动室维护</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16.6</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16.6</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30299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第七届宁夏(吴忠)国际马拉松</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80.00</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80.00</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30301</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离休人员工资</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9.53</w:t>
            </w:r>
          </w:p>
        </w:tc>
        <w:tc>
          <w:tcPr>
            <w:tcW w:w="1541" w:type="dxa"/>
            <w:gridSpan w:val="5"/>
            <w:tcBorders>
              <w:top w:val="nil"/>
              <w:left w:val="nil"/>
              <w:bottom w:val="single" w:color="auto" w:sz="4" w:space="0"/>
              <w:right w:val="single" w:color="auto" w:sz="4" w:space="0"/>
            </w:tcBorders>
            <w:shd w:val="clear" w:color="auto" w:fill="auto"/>
            <w:vAlign w:val="center"/>
          </w:tcPr>
          <w:p>
            <w:pPr>
              <w:wordWrap w:val="0"/>
              <w:jc w:val="right"/>
              <w:rPr>
                <w:rFonts w:ascii="仿宋" w:hAnsi="仿宋" w:eastAsia="仿宋"/>
                <w:kern w:val="0"/>
                <w:sz w:val="18"/>
                <w:szCs w:val="18"/>
              </w:rPr>
            </w:pPr>
            <w:r>
              <w:rPr>
                <w:rFonts w:hint="eastAsia" w:ascii="仿宋" w:hAnsi="仿宋" w:eastAsia="仿宋"/>
                <w:kern w:val="0"/>
                <w:sz w:val="18"/>
                <w:szCs w:val="18"/>
              </w:rPr>
              <w:t xml:space="preserve"> 9.53</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9.53</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30305</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遗嘱人员工资</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1.21</w:t>
            </w:r>
          </w:p>
        </w:tc>
        <w:tc>
          <w:tcPr>
            <w:tcW w:w="1541" w:type="dxa"/>
            <w:gridSpan w:val="5"/>
            <w:tcBorders>
              <w:top w:val="nil"/>
              <w:left w:val="nil"/>
              <w:bottom w:val="single" w:color="auto" w:sz="4" w:space="0"/>
              <w:right w:val="single" w:color="auto" w:sz="4" w:space="0"/>
            </w:tcBorders>
            <w:shd w:val="clear" w:color="auto" w:fill="auto"/>
            <w:vAlign w:val="center"/>
          </w:tcPr>
          <w:p>
            <w:pPr>
              <w:wordWrap w:val="0"/>
              <w:jc w:val="right"/>
              <w:rPr>
                <w:rFonts w:ascii="仿宋" w:hAnsi="仿宋" w:eastAsia="仿宋"/>
                <w:kern w:val="0"/>
                <w:sz w:val="18"/>
                <w:szCs w:val="18"/>
              </w:rPr>
            </w:pPr>
            <w:r>
              <w:rPr>
                <w:rFonts w:hint="eastAsia" w:ascii="仿宋" w:hAnsi="仿宋" w:eastAsia="仿宋"/>
                <w:kern w:val="0"/>
                <w:sz w:val="18"/>
                <w:szCs w:val="18"/>
              </w:rPr>
              <w:t>1.21</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1.21</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30113</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住房公积金</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27.22</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27.22</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27.22</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30109</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职业年金缴费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17.36</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17.36</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30110</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职工基本医疗保险缴费</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17.36</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17.36</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30108</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机关事业单位基本养老保险</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43.40</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43.40</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43.40</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r>
      <w:tr>
        <w:tblPrEx>
          <w:tblLayout w:type="fixed"/>
          <w:tblCellMar>
            <w:top w:w="0" w:type="dxa"/>
            <w:left w:w="108" w:type="dxa"/>
            <w:bottom w:w="0" w:type="dxa"/>
            <w:right w:w="108" w:type="dxa"/>
          </w:tblCellMar>
        </w:tblPrEx>
        <w:trPr>
          <w:gridAfter w:val="4"/>
          <w:wAfter w:w="2433" w:type="dxa"/>
          <w:trHeight w:val="162" w:hRule="atLeast"/>
        </w:trPr>
        <w:tc>
          <w:tcPr>
            <w:tcW w:w="1268" w:type="dxa"/>
            <w:gridSpan w:val="3"/>
            <w:tcBorders>
              <w:top w:val="nil"/>
              <w:left w:val="single" w:color="auto" w:sz="4" w:space="0"/>
              <w:bottom w:val="single" w:color="auto" w:sz="4" w:space="0"/>
              <w:right w:val="single" w:color="auto" w:sz="4" w:space="0"/>
            </w:tcBorders>
            <w:shd w:val="clear" w:color="auto" w:fill="auto"/>
            <w:vAlign w:val="center"/>
          </w:tcPr>
          <w:p>
            <w:pPr>
              <w:spacing w:line="360" w:lineRule="exact"/>
              <w:rPr>
                <w:rFonts w:ascii="仿宋" w:hAnsi="仿宋" w:eastAsia="仿宋"/>
                <w:color w:val="000000" w:themeColor="text1"/>
                <w:kern w:val="0"/>
                <w:sz w:val="18"/>
                <w:szCs w:val="18"/>
              </w:rPr>
            </w:pPr>
            <w:r>
              <w:rPr>
                <w:rFonts w:hint="eastAsia" w:ascii="仿宋" w:hAnsi="仿宋" w:eastAsia="仿宋"/>
                <w:color w:val="000000" w:themeColor="text1"/>
                <w:kern w:val="0"/>
                <w:sz w:val="18"/>
                <w:szCs w:val="18"/>
              </w:rPr>
              <w:t>30111</w:t>
            </w:r>
          </w:p>
        </w:tc>
        <w:tc>
          <w:tcPr>
            <w:tcW w:w="2719" w:type="dxa"/>
            <w:gridSpan w:val="5"/>
            <w:tcBorders>
              <w:top w:val="nil"/>
              <w:left w:val="nil"/>
              <w:bottom w:val="single" w:color="auto" w:sz="4" w:space="0"/>
              <w:right w:val="single" w:color="auto" w:sz="4" w:space="0"/>
            </w:tcBorders>
            <w:shd w:val="clear" w:color="auto" w:fill="auto"/>
            <w:vAlign w:val="center"/>
          </w:tcPr>
          <w:p>
            <w:pPr>
              <w:spacing w:line="360" w:lineRule="exact"/>
              <w:jc w:val="left"/>
              <w:rPr>
                <w:rFonts w:ascii="仿宋" w:hAnsi="仿宋" w:eastAsia="仿宋"/>
                <w:kern w:val="0"/>
                <w:sz w:val="18"/>
                <w:szCs w:val="18"/>
              </w:rPr>
            </w:pPr>
            <w:r>
              <w:rPr>
                <w:rFonts w:hint="eastAsia" w:ascii="仿宋" w:hAnsi="仿宋" w:eastAsia="仿宋"/>
                <w:kern w:val="0"/>
                <w:sz w:val="18"/>
                <w:szCs w:val="18"/>
              </w:rPr>
              <w:t>公务员医疗补助</w:t>
            </w:r>
          </w:p>
        </w:tc>
        <w:tc>
          <w:tcPr>
            <w:tcW w:w="1900"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54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681"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908" w:type="dxa"/>
            <w:gridSpan w:val="5"/>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2433" w:type="dxa"/>
            <w:gridSpan w:val="4"/>
            <w:tcBorders>
              <w:top w:val="nil"/>
              <w:left w:val="nil"/>
              <w:bottom w:val="single" w:color="auto" w:sz="4" w:space="0"/>
              <w:right w:val="single" w:color="auto" w:sz="4" w:space="0"/>
            </w:tcBorders>
            <w:shd w:val="clear" w:color="auto" w:fill="auto"/>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r>
      <w:tr>
        <w:tblPrEx>
          <w:tblLayout w:type="fixed"/>
          <w:tblCellMar>
            <w:top w:w="0" w:type="dxa"/>
            <w:left w:w="108" w:type="dxa"/>
            <w:bottom w:w="0" w:type="dxa"/>
            <w:right w:w="108" w:type="dxa"/>
          </w:tblCellMar>
        </w:tblPrEx>
        <w:trPr>
          <w:gridAfter w:val="4"/>
          <w:wAfter w:w="2433" w:type="dxa"/>
          <w:trHeight w:val="100" w:hRule="atLeast"/>
        </w:trPr>
        <w:tc>
          <w:tcPr>
            <w:tcW w:w="13450" w:type="dxa"/>
            <w:gridSpan w:val="32"/>
            <w:tcBorders>
              <w:top w:val="nil"/>
              <w:left w:val="nil"/>
              <w:bottom w:val="nil"/>
              <w:right w:val="nil"/>
            </w:tcBorders>
            <w:shd w:val="clear" w:color="auto" w:fill="auto"/>
            <w:vAlign w:val="center"/>
          </w:tcPr>
          <w:p>
            <w:pPr>
              <w:rPr>
                <w:rFonts w:ascii="黑体" w:hAnsi="黑体" w:eastAsia="黑体"/>
                <w:color w:val="3F3F3F" w:themeColor="background1" w:themeShade="40"/>
                <w:kern w:val="0"/>
                <w:sz w:val="32"/>
                <w:szCs w:val="32"/>
              </w:rPr>
            </w:pPr>
          </w:p>
        </w:tc>
      </w:tr>
      <w:tr>
        <w:tblPrEx>
          <w:tblLayout w:type="fixed"/>
          <w:tblCellMar>
            <w:top w:w="0" w:type="dxa"/>
            <w:left w:w="108" w:type="dxa"/>
            <w:bottom w:w="0" w:type="dxa"/>
            <w:right w:w="108" w:type="dxa"/>
          </w:tblCellMar>
        </w:tblPrEx>
        <w:trPr>
          <w:gridAfter w:val="4"/>
          <w:wAfter w:w="2433" w:type="dxa"/>
          <w:trHeight w:val="100" w:hRule="atLeast"/>
        </w:trPr>
        <w:tc>
          <w:tcPr>
            <w:tcW w:w="13450" w:type="dxa"/>
            <w:gridSpan w:val="32"/>
            <w:tcBorders>
              <w:top w:val="nil"/>
              <w:left w:val="nil"/>
              <w:bottom w:val="nil"/>
              <w:right w:val="nil"/>
            </w:tcBorders>
            <w:shd w:val="clear" w:color="auto" w:fill="auto"/>
            <w:vAlign w:val="center"/>
          </w:tcPr>
          <w:p>
            <w:pPr>
              <w:jc w:val="center"/>
              <w:rPr>
                <w:rFonts w:ascii="宋体" w:hAnsi="宋体" w:cs="宋体"/>
                <w:color w:val="3F3F3F" w:themeColor="background1" w:themeShade="40"/>
                <w:kern w:val="0"/>
                <w:sz w:val="22"/>
                <w:szCs w:val="22"/>
              </w:rPr>
            </w:pPr>
          </w:p>
        </w:tc>
      </w:tr>
      <w:tr>
        <w:tblPrEx>
          <w:tblLayout w:type="fixed"/>
          <w:tblCellMar>
            <w:top w:w="0" w:type="dxa"/>
            <w:left w:w="108" w:type="dxa"/>
            <w:bottom w:w="0" w:type="dxa"/>
            <w:right w:w="108" w:type="dxa"/>
          </w:tblCellMar>
        </w:tblPrEx>
        <w:trPr>
          <w:gridAfter w:val="4"/>
          <w:wAfter w:w="2433" w:type="dxa"/>
          <w:trHeight w:val="100" w:hRule="atLeast"/>
        </w:trPr>
        <w:tc>
          <w:tcPr>
            <w:tcW w:w="1989" w:type="dxa"/>
            <w:gridSpan w:val="5"/>
            <w:tcBorders>
              <w:top w:val="nil"/>
              <w:left w:val="nil"/>
              <w:bottom w:val="nil"/>
              <w:right w:val="nil"/>
            </w:tcBorders>
            <w:shd w:val="clear" w:color="auto" w:fill="auto"/>
            <w:vAlign w:val="center"/>
          </w:tcPr>
          <w:p>
            <w:pPr>
              <w:widowControl/>
              <w:jc w:val="left"/>
              <w:rPr>
                <w:rFonts w:ascii="宋体" w:hAnsi="宋体" w:cs="宋体"/>
                <w:color w:val="3F3F3F" w:themeColor="background1" w:themeShade="40"/>
                <w:kern w:val="0"/>
                <w:sz w:val="22"/>
                <w:szCs w:val="22"/>
              </w:rPr>
            </w:pPr>
          </w:p>
        </w:tc>
        <w:tc>
          <w:tcPr>
            <w:tcW w:w="1998" w:type="dxa"/>
            <w:gridSpan w:val="3"/>
            <w:tcBorders>
              <w:top w:val="nil"/>
              <w:left w:val="nil"/>
              <w:bottom w:val="nil"/>
              <w:right w:val="nil"/>
            </w:tcBorders>
            <w:shd w:val="clear" w:color="auto" w:fill="auto"/>
            <w:vAlign w:val="center"/>
          </w:tcPr>
          <w:p>
            <w:pPr>
              <w:widowControl/>
              <w:jc w:val="left"/>
              <w:rPr>
                <w:rFonts w:ascii="宋体" w:hAnsi="宋体" w:cs="宋体"/>
                <w:color w:val="3F3F3F" w:themeColor="background1" w:themeShade="40"/>
                <w:kern w:val="0"/>
                <w:sz w:val="22"/>
                <w:szCs w:val="22"/>
              </w:rPr>
            </w:pPr>
          </w:p>
        </w:tc>
        <w:tc>
          <w:tcPr>
            <w:tcW w:w="1032" w:type="dxa"/>
            <w:gridSpan w:val="2"/>
            <w:tcBorders>
              <w:top w:val="nil"/>
              <w:left w:val="nil"/>
              <w:bottom w:val="nil"/>
              <w:right w:val="nil"/>
            </w:tcBorders>
            <w:shd w:val="clear" w:color="auto" w:fill="auto"/>
            <w:vAlign w:val="center"/>
          </w:tcPr>
          <w:p>
            <w:pPr>
              <w:widowControl/>
              <w:jc w:val="left"/>
              <w:rPr>
                <w:rFonts w:ascii="宋体" w:hAnsi="宋体" w:cs="宋体"/>
                <w:color w:val="3F3F3F" w:themeColor="background1" w:themeShade="40"/>
                <w:kern w:val="0"/>
                <w:sz w:val="22"/>
                <w:szCs w:val="22"/>
              </w:rPr>
            </w:pPr>
          </w:p>
        </w:tc>
        <w:tc>
          <w:tcPr>
            <w:tcW w:w="1032" w:type="dxa"/>
            <w:gridSpan w:val="4"/>
            <w:tcBorders>
              <w:top w:val="nil"/>
              <w:left w:val="nil"/>
              <w:bottom w:val="nil"/>
              <w:right w:val="nil"/>
            </w:tcBorders>
            <w:shd w:val="clear" w:color="auto" w:fill="auto"/>
            <w:vAlign w:val="center"/>
          </w:tcPr>
          <w:p>
            <w:pPr>
              <w:widowControl/>
              <w:jc w:val="left"/>
              <w:rPr>
                <w:rFonts w:ascii="宋体" w:hAnsi="宋体" w:cs="宋体"/>
                <w:color w:val="3F3F3F" w:themeColor="background1" w:themeShade="40"/>
                <w:kern w:val="0"/>
                <w:sz w:val="22"/>
                <w:szCs w:val="22"/>
              </w:rPr>
            </w:pPr>
          </w:p>
        </w:tc>
        <w:tc>
          <w:tcPr>
            <w:tcW w:w="1998" w:type="dxa"/>
            <w:gridSpan w:val="6"/>
            <w:tcBorders>
              <w:top w:val="nil"/>
              <w:left w:val="nil"/>
              <w:bottom w:val="nil"/>
              <w:right w:val="nil"/>
            </w:tcBorders>
            <w:shd w:val="clear" w:color="auto" w:fill="auto"/>
            <w:vAlign w:val="center"/>
          </w:tcPr>
          <w:p>
            <w:pPr>
              <w:widowControl/>
              <w:jc w:val="center"/>
              <w:rPr>
                <w:rFonts w:ascii="宋体" w:hAnsi="宋体" w:cs="宋体"/>
                <w:color w:val="3F3F3F" w:themeColor="background1" w:themeShade="40"/>
                <w:kern w:val="0"/>
                <w:sz w:val="22"/>
                <w:szCs w:val="22"/>
              </w:rPr>
            </w:pPr>
          </w:p>
        </w:tc>
        <w:tc>
          <w:tcPr>
            <w:tcW w:w="5401" w:type="dxa"/>
            <w:gridSpan w:val="12"/>
            <w:tcBorders>
              <w:top w:val="nil"/>
              <w:left w:val="nil"/>
              <w:bottom w:val="nil"/>
              <w:right w:val="nil"/>
            </w:tcBorders>
            <w:shd w:val="clear" w:color="auto" w:fill="auto"/>
            <w:vAlign w:val="center"/>
          </w:tcPr>
          <w:p>
            <w:pPr>
              <w:jc w:val="center"/>
              <w:rPr>
                <w:rFonts w:ascii="宋体" w:hAnsi="宋体" w:cs="宋体"/>
                <w:color w:val="3F3F3F" w:themeColor="background1" w:themeShade="40"/>
                <w:kern w:val="0"/>
                <w:sz w:val="22"/>
                <w:szCs w:val="22"/>
              </w:rPr>
            </w:pPr>
          </w:p>
        </w:tc>
      </w:tr>
    </w:tbl>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32"/>
          <w:szCs w:val="32"/>
        </w:rPr>
      </w:pPr>
    </w:p>
    <w:p>
      <w:pPr>
        <w:rPr>
          <w:rFonts w:ascii="黑体" w:hAnsi="黑体" w:eastAsia="黑体"/>
          <w:kern w:val="0"/>
          <w:sz w:val="24"/>
        </w:rPr>
      </w:pPr>
      <w:r>
        <w:rPr>
          <w:rFonts w:hint="eastAsia" w:ascii="黑体" w:hAnsi="黑体" w:eastAsia="黑体"/>
          <w:kern w:val="0"/>
          <w:sz w:val="32"/>
          <w:szCs w:val="32"/>
        </w:rPr>
        <w:t>五、一般公共预算“三公”经费支出表</w:t>
      </w:r>
    </w:p>
    <w:p>
      <w:pPr>
        <w:widowControl/>
        <w:ind w:firstLine="723" w:firstLineChars="200"/>
        <w:jc w:val="center"/>
        <w:outlineLvl w:val="1"/>
        <w:rPr>
          <w:rFonts w:ascii="仿宋" w:hAnsi="仿宋" w:eastAsia="仿宋"/>
          <w:b/>
          <w:kern w:val="0"/>
          <w:sz w:val="36"/>
          <w:szCs w:val="36"/>
        </w:rPr>
      </w:pPr>
      <w:r>
        <w:rPr>
          <w:rFonts w:hint="eastAsia" w:ascii="仿宋" w:hAnsi="仿宋" w:eastAsia="仿宋"/>
          <w:b/>
          <w:kern w:val="0"/>
          <w:sz w:val="36"/>
          <w:szCs w:val="36"/>
        </w:rPr>
        <w:t>一般公共预算“三公”经费支出表</w:t>
      </w:r>
    </w:p>
    <w:p>
      <w:pPr>
        <w:widowControl/>
        <w:ind w:firstLine="735"/>
        <w:jc w:val="left"/>
        <w:outlineLvl w:val="1"/>
        <w:rPr>
          <w:rFonts w:ascii="仿宋" w:hAnsi="仿宋" w:eastAsia="仿宋"/>
          <w:kern w:val="0"/>
          <w:sz w:val="32"/>
          <w:szCs w:val="32"/>
        </w:rPr>
      </w:pPr>
      <w:r>
        <w:rPr>
          <w:rFonts w:hint="eastAsia" w:ascii="仿宋" w:hAnsi="仿宋" w:eastAsia="仿宋"/>
          <w:kern w:val="0"/>
          <w:sz w:val="32"/>
          <w:szCs w:val="32"/>
        </w:rPr>
        <w:t xml:space="preserve">                                                                   单位：万元</w:t>
      </w:r>
    </w:p>
    <w:tbl>
      <w:tblPr>
        <w:tblStyle w:val="6"/>
        <w:tblW w:w="14637" w:type="dxa"/>
        <w:tblInd w:w="0" w:type="dxa"/>
        <w:tblLayout w:type="fixed"/>
        <w:tblCellMar>
          <w:top w:w="0" w:type="dxa"/>
          <w:left w:w="108" w:type="dxa"/>
          <w:bottom w:w="0" w:type="dxa"/>
          <w:right w:w="108" w:type="dxa"/>
        </w:tblCellMar>
      </w:tblPr>
      <w:tblGrid>
        <w:gridCol w:w="800"/>
        <w:gridCol w:w="879"/>
        <w:gridCol w:w="800"/>
        <w:gridCol w:w="800"/>
        <w:gridCol w:w="800"/>
        <w:gridCol w:w="800"/>
        <w:gridCol w:w="800"/>
        <w:gridCol w:w="879"/>
        <w:gridCol w:w="800"/>
        <w:gridCol w:w="800"/>
        <w:gridCol w:w="800"/>
        <w:gridCol w:w="800"/>
        <w:gridCol w:w="800"/>
        <w:gridCol w:w="879"/>
        <w:gridCol w:w="800"/>
        <w:gridCol w:w="800"/>
        <w:gridCol w:w="800"/>
        <w:gridCol w:w="800"/>
      </w:tblGrid>
      <w:tr>
        <w:tblPrEx>
          <w:tblLayout w:type="fixed"/>
          <w:tblCellMar>
            <w:top w:w="0" w:type="dxa"/>
            <w:left w:w="108" w:type="dxa"/>
            <w:bottom w:w="0" w:type="dxa"/>
            <w:right w:w="108" w:type="dxa"/>
          </w:tblCellMar>
        </w:tblPrEx>
        <w:trPr>
          <w:trHeight w:val="555" w:hRule="atLeast"/>
        </w:trPr>
        <w:tc>
          <w:tcPr>
            <w:tcW w:w="487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2017年预算数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2017年执行数</w:t>
            </w:r>
          </w:p>
        </w:tc>
        <w:tc>
          <w:tcPr>
            <w:tcW w:w="4879"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2018年预算数</w:t>
            </w:r>
          </w:p>
        </w:tc>
      </w:tr>
      <w:tr>
        <w:tblPrEx>
          <w:tblLayout w:type="fixed"/>
          <w:tblCellMar>
            <w:top w:w="0" w:type="dxa"/>
            <w:left w:w="108" w:type="dxa"/>
            <w:bottom w:w="0" w:type="dxa"/>
            <w:right w:w="108" w:type="dxa"/>
          </w:tblCellMar>
        </w:tblPrEx>
        <w:trPr>
          <w:trHeight w:val="11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合计</w:t>
            </w:r>
          </w:p>
        </w:tc>
        <w:tc>
          <w:tcPr>
            <w:tcW w:w="87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因公出国（境）费</w:t>
            </w:r>
          </w:p>
        </w:tc>
        <w:tc>
          <w:tcPr>
            <w:tcW w:w="24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公务用车购置及运行费</w:t>
            </w:r>
          </w:p>
        </w:tc>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公务接待费</w:t>
            </w:r>
          </w:p>
        </w:tc>
      </w:tr>
      <w:tr>
        <w:tblPrEx>
          <w:tblLayout w:type="fixed"/>
          <w:tblCellMar>
            <w:top w:w="0" w:type="dxa"/>
            <w:left w:w="108" w:type="dxa"/>
            <w:bottom w:w="0" w:type="dxa"/>
            <w:right w:w="108" w:type="dxa"/>
          </w:tblCellMar>
        </w:tblPrEx>
        <w:trPr>
          <w:trHeight w:val="11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79"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小计</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公务用车购置费</w:t>
            </w:r>
          </w:p>
        </w:tc>
        <w:tc>
          <w:tcPr>
            <w:tcW w:w="8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2"/>
                <w:szCs w:val="22"/>
              </w:rPr>
            </w:pPr>
            <w:r>
              <w:rPr>
                <w:rFonts w:hint="eastAsia" w:ascii="仿宋" w:hAnsi="仿宋" w:eastAsia="仿宋" w:cs="宋体"/>
                <w:b/>
                <w:bCs/>
                <w:kern w:val="0"/>
                <w:sz w:val="22"/>
                <w:szCs w:val="22"/>
              </w:rPr>
              <w:t>公务用车运行费</w:t>
            </w: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b/>
                <w:bCs/>
                <w:kern w:val="0"/>
                <w:sz w:val="22"/>
                <w:szCs w:val="22"/>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24　</w:t>
            </w: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0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14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0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14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10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17.8　</w:t>
            </w: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0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11.81</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0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11.81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5.99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0.5　</w:t>
            </w: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0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0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0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0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0.5　</w:t>
            </w: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p>
        </w:tc>
      </w:tr>
      <w:tr>
        <w:tblPrEx>
          <w:tblLayout w:type="fixed"/>
          <w:tblCellMar>
            <w:top w:w="0" w:type="dxa"/>
            <w:left w:w="108" w:type="dxa"/>
            <w:bottom w:w="0" w:type="dxa"/>
            <w:right w:w="108" w:type="dxa"/>
          </w:tblCellMar>
        </w:tblPrEx>
        <w:trPr>
          <w:trHeight w:val="555"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79"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c>
          <w:tcPr>
            <w:tcW w:w="800" w:type="dxa"/>
            <w:tcBorders>
              <w:top w:val="nil"/>
              <w:left w:val="nil"/>
              <w:bottom w:val="single" w:color="auto" w:sz="4" w:space="0"/>
              <w:right w:val="single" w:color="auto" w:sz="4" w:space="0"/>
            </w:tcBorders>
            <w:shd w:val="clear" w:color="auto" w:fill="auto"/>
            <w:vAlign w:val="center"/>
          </w:tcPr>
          <w:p>
            <w:pPr>
              <w:widowControl/>
              <w:jc w:val="right"/>
              <w:rPr>
                <w:rFonts w:ascii="仿宋" w:hAnsi="仿宋" w:eastAsia="仿宋" w:cs="宋体"/>
                <w:kern w:val="0"/>
                <w:sz w:val="18"/>
                <w:szCs w:val="18"/>
              </w:rPr>
            </w:pPr>
            <w:r>
              <w:rPr>
                <w:rFonts w:hint="eastAsia" w:ascii="仿宋" w:hAnsi="仿宋" w:eastAsia="仿宋" w:cs="宋体"/>
                <w:kern w:val="0"/>
                <w:sz w:val="18"/>
                <w:szCs w:val="18"/>
              </w:rPr>
              <w:t>　</w:t>
            </w:r>
          </w:p>
        </w:tc>
      </w:tr>
    </w:tbl>
    <w:p>
      <w:pPr>
        <w:rPr>
          <w:rFonts w:ascii="黑体" w:hAnsi="黑体" w:eastAsia="黑体"/>
          <w:kern w:val="0"/>
          <w:sz w:val="24"/>
        </w:rPr>
      </w:pPr>
      <w:r>
        <w:rPr>
          <w:rFonts w:hint="eastAsia" w:ascii="黑体" w:hAnsi="黑体" w:eastAsia="黑体"/>
          <w:kern w:val="0"/>
          <w:sz w:val="32"/>
          <w:szCs w:val="32"/>
        </w:rPr>
        <w:t>六、政府性基金预算支出明细表</w:t>
      </w:r>
    </w:p>
    <w:p>
      <w:pPr>
        <w:jc w:val="center"/>
        <w:rPr>
          <w:rFonts w:ascii="仿宋" w:hAnsi="仿宋" w:eastAsia="仿宋"/>
          <w:kern w:val="0"/>
          <w:sz w:val="24"/>
        </w:rPr>
      </w:pPr>
      <w:r>
        <w:rPr>
          <w:rFonts w:hint="eastAsia" w:ascii="仿宋" w:hAnsi="仿宋" w:eastAsia="仿宋"/>
          <w:b/>
          <w:kern w:val="0"/>
          <w:sz w:val="36"/>
          <w:szCs w:val="36"/>
        </w:rPr>
        <w:t>政府性基金预算支出明细表</w:t>
      </w:r>
    </w:p>
    <w:p>
      <w:pPr>
        <w:rPr>
          <w:rFonts w:ascii="仿宋" w:hAnsi="仿宋" w:eastAsia="仿宋"/>
          <w:kern w:val="0"/>
          <w:sz w:val="28"/>
          <w:szCs w:val="28"/>
        </w:rPr>
      </w:pPr>
      <w:r>
        <w:rPr>
          <w:rFonts w:hint="eastAsia" w:ascii="仿宋" w:hAnsi="宋体" w:eastAsia="仿宋"/>
          <w:b/>
          <w:kern w:val="0"/>
          <w:sz w:val="36"/>
          <w:szCs w:val="36"/>
        </w:rPr>
        <w:t>                       </w:t>
      </w:r>
      <w:r>
        <w:rPr>
          <w:rFonts w:hint="eastAsia" w:ascii="仿宋" w:hAnsi="仿宋" w:eastAsia="仿宋"/>
          <w:b/>
          <w:kern w:val="0"/>
          <w:sz w:val="36"/>
          <w:szCs w:val="36"/>
        </w:rPr>
        <w:t xml:space="preserve">               </w:t>
      </w:r>
      <w:r>
        <w:rPr>
          <w:rFonts w:hint="eastAsia" w:ascii="仿宋" w:hAnsi="仿宋" w:eastAsia="仿宋"/>
          <w:b/>
          <w:kern w:val="0"/>
          <w:sz w:val="28"/>
          <w:szCs w:val="28"/>
        </w:rPr>
        <w:t xml:space="preserve"> </w:t>
      </w:r>
      <w:r>
        <w:rPr>
          <w:rFonts w:hint="eastAsia" w:ascii="仿宋" w:hAnsi="仿宋" w:eastAsia="仿宋"/>
          <w:kern w:val="0"/>
          <w:sz w:val="28"/>
          <w:szCs w:val="28"/>
        </w:rPr>
        <w:t>单位：万元</w:t>
      </w:r>
    </w:p>
    <w:tbl>
      <w:tblPr>
        <w:tblStyle w:val="6"/>
        <w:tblW w:w="15157" w:type="dxa"/>
        <w:tblInd w:w="-832" w:type="dxa"/>
        <w:tblLayout w:type="fixed"/>
        <w:tblCellMar>
          <w:top w:w="0" w:type="dxa"/>
          <w:left w:w="0" w:type="dxa"/>
          <w:bottom w:w="0" w:type="dxa"/>
          <w:right w:w="0" w:type="dxa"/>
        </w:tblCellMar>
      </w:tblPr>
      <w:tblGrid>
        <w:gridCol w:w="1003"/>
        <w:gridCol w:w="1134"/>
        <w:gridCol w:w="1134"/>
        <w:gridCol w:w="992"/>
        <w:gridCol w:w="992"/>
        <w:gridCol w:w="992"/>
        <w:gridCol w:w="993"/>
        <w:gridCol w:w="992"/>
        <w:gridCol w:w="992"/>
        <w:gridCol w:w="992"/>
        <w:gridCol w:w="993"/>
        <w:gridCol w:w="992"/>
        <w:gridCol w:w="992"/>
        <w:gridCol w:w="982"/>
        <w:gridCol w:w="982"/>
      </w:tblGrid>
      <w:tr>
        <w:tblPrEx>
          <w:tblLayout w:type="fixed"/>
          <w:tblCellMar>
            <w:top w:w="0" w:type="dxa"/>
            <w:left w:w="0" w:type="dxa"/>
            <w:bottom w:w="0" w:type="dxa"/>
            <w:right w:w="0" w:type="dxa"/>
          </w:tblCellMar>
        </w:tblPrEx>
        <w:trPr>
          <w:trHeight w:val="450" w:hRule="atLeast"/>
        </w:trPr>
        <w:tc>
          <w:tcPr>
            <w:tcW w:w="213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功能分类科目</w:t>
            </w:r>
          </w:p>
        </w:tc>
        <w:tc>
          <w:tcPr>
            <w:tcW w:w="1134" w:type="dxa"/>
            <w:vMerge w:val="restart"/>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kern w:val="0"/>
                <w:sz w:val="24"/>
              </w:rPr>
            </w:pPr>
            <w:r>
              <w:rPr>
                <w:rFonts w:hint="eastAsia" w:ascii="仿宋" w:hAnsi="仿宋" w:eastAsia="仿宋"/>
                <w:b/>
                <w:kern w:val="0"/>
                <w:sz w:val="22"/>
                <w:szCs w:val="22"/>
              </w:rPr>
              <w:t>2018年预算安排总计</w:t>
            </w:r>
          </w:p>
        </w:tc>
        <w:tc>
          <w:tcPr>
            <w:tcW w:w="10904"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基本支出</w:t>
            </w:r>
          </w:p>
        </w:tc>
        <w:tc>
          <w:tcPr>
            <w:tcW w:w="982" w:type="dxa"/>
            <w:vMerge w:val="restart"/>
            <w:tcBorders>
              <w:top w:val="single" w:color="000000" w:sz="8" w:space="0"/>
              <w:left w:val="single" w:color="auto" w:sz="4"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项目支出</w:t>
            </w:r>
          </w:p>
        </w:tc>
      </w:tr>
      <w:tr>
        <w:tblPrEx>
          <w:tblLayout w:type="fixed"/>
          <w:tblCellMar>
            <w:top w:w="0" w:type="dxa"/>
            <w:left w:w="0" w:type="dxa"/>
            <w:bottom w:w="0" w:type="dxa"/>
            <w:right w:w="0" w:type="dxa"/>
          </w:tblCellMar>
        </w:tblPrEx>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2"/>
                <w:szCs w:val="22"/>
              </w:rPr>
              <w:t>科目编码</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科目名称</w:t>
            </w: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小计</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工资福利支出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商品和服务支出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对个人和家庭的补助</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债务利息及费用支出</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资本性支出（基本建设）</w:t>
            </w:r>
          </w:p>
        </w:tc>
        <w:tc>
          <w:tcPr>
            <w:tcW w:w="992"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资本性支出</w:t>
            </w:r>
          </w:p>
        </w:tc>
        <w:tc>
          <w:tcPr>
            <w:tcW w:w="993" w:type="dxa"/>
            <w:tcBorders>
              <w:top w:val="single" w:color="auto" w:sz="4"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2"/>
                <w:szCs w:val="22"/>
              </w:rPr>
              <w:t>对企业补助（基本建设）</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对企业补助</w:t>
            </w:r>
          </w:p>
        </w:tc>
        <w:tc>
          <w:tcPr>
            <w:tcW w:w="99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对社会保障基金补助</w:t>
            </w:r>
          </w:p>
        </w:tc>
        <w:tc>
          <w:tcPr>
            <w:tcW w:w="982" w:type="dxa"/>
            <w:tcBorders>
              <w:top w:val="single" w:color="000000" w:sz="8" w:space="0"/>
              <w:left w:val="single" w:color="000000" w:sz="8" w:space="0"/>
              <w:bottom w:val="single" w:color="000000" w:sz="8" w:space="0"/>
              <w:right w:val="single" w:color="auto" w:sz="4" w:space="0"/>
            </w:tcBorders>
            <w:vAlign w:val="center"/>
          </w:tcPr>
          <w:p>
            <w:pPr>
              <w:jc w:val="center"/>
              <w:rPr>
                <w:rFonts w:ascii="仿宋" w:hAnsi="仿宋" w:eastAsia="仿宋"/>
                <w:b/>
                <w:kern w:val="0"/>
                <w:sz w:val="22"/>
                <w:szCs w:val="22"/>
              </w:rPr>
            </w:pPr>
            <w:r>
              <w:rPr>
                <w:rFonts w:hint="eastAsia" w:ascii="仿宋" w:hAnsi="仿宋" w:eastAsia="仿宋"/>
                <w:b/>
                <w:kern w:val="0"/>
                <w:sz w:val="22"/>
                <w:szCs w:val="22"/>
              </w:rPr>
              <w:t>其他支出</w:t>
            </w:r>
          </w:p>
        </w:tc>
        <w:tc>
          <w:tcPr>
            <w:tcW w:w="982" w:type="dxa"/>
            <w:vMerge w:val="continue"/>
            <w:tcBorders>
              <w:left w:val="single" w:color="auto" w:sz="4" w:space="0"/>
              <w:bottom w:val="single" w:color="000000" w:sz="8" w:space="0"/>
              <w:right w:val="single" w:color="auto" w:sz="4" w:space="0"/>
            </w:tcBorders>
          </w:tcPr>
          <w:p>
            <w:pPr>
              <w:jc w:val="center"/>
              <w:rPr>
                <w:rFonts w:ascii="仿宋" w:hAnsi="仿宋" w:eastAsia="仿宋"/>
                <w:b/>
                <w:kern w:val="0"/>
                <w:sz w:val="22"/>
                <w:szCs w:val="22"/>
              </w:rPr>
            </w:pPr>
          </w:p>
        </w:tc>
      </w:tr>
      <w:tr>
        <w:tblPrEx>
          <w:tblLayout w:type="fixed"/>
          <w:tblCellMar>
            <w:top w:w="0" w:type="dxa"/>
            <w:left w:w="0" w:type="dxa"/>
            <w:bottom w:w="0" w:type="dxa"/>
            <w:right w:w="0" w:type="dxa"/>
          </w:tblCellMar>
        </w:tblPrEx>
        <w:trPr>
          <w:trHeight w:val="564" w:hRule="atLeast"/>
        </w:trPr>
        <w:tc>
          <w:tcPr>
            <w:tcW w:w="100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0"/>
                <w:szCs w:val="20"/>
              </w:rPr>
              <w:t>(无)</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0"/>
                <w:szCs w:val="20"/>
              </w:rPr>
              <w:t>(无)</w:t>
            </w:r>
          </w:p>
        </w:tc>
        <w:tc>
          <w:tcPr>
            <w:tcW w:w="1134"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9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c>
          <w:tcPr>
            <w:tcW w:w="982" w:type="dxa"/>
            <w:tcBorders>
              <w:top w:val="single" w:color="auto" w:sz="8" w:space="0"/>
              <w:left w:val="single" w:color="auto" w:sz="8" w:space="0"/>
              <w:bottom w:val="single" w:color="auto" w:sz="8" w:space="0"/>
              <w:right w:val="single" w:color="auto" w:sz="8" w:space="0"/>
            </w:tcBorders>
          </w:tcPr>
          <w:p>
            <w:pPr>
              <w:jc w:val="center"/>
              <w:rPr>
                <w:rFonts w:ascii="仿宋" w:hAnsi="仿宋" w:eastAsia="仿宋"/>
                <w:kern w:val="0"/>
                <w:sz w:val="24"/>
              </w:rPr>
            </w:pPr>
            <w:r>
              <w:rPr>
                <w:rFonts w:hint="eastAsia" w:ascii="仿宋" w:hAnsi="仿宋" w:eastAsia="仿宋"/>
                <w:kern w:val="0"/>
                <w:sz w:val="24"/>
              </w:rPr>
              <w:t>0</w:t>
            </w:r>
          </w:p>
        </w:tc>
      </w:tr>
      <w:tr>
        <w:tblPrEx>
          <w:tblLayout w:type="fixed"/>
          <w:tblCellMar>
            <w:top w:w="0" w:type="dxa"/>
            <w:left w:w="0" w:type="dxa"/>
            <w:bottom w:w="0" w:type="dxa"/>
            <w:right w:w="0" w:type="dxa"/>
          </w:tblCellMar>
        </w:tblPrEx>
        <w:trPr>
          <w:trHeight w:val="466"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30"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57"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0"/>
                <w:szCs w:val="20"/>
              </w:rPr>
              <w:t>　</w:t>
            </w: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r>
        <w:tblPrEx>
          <w:tblLayout w:type="fixed"/>
          <w:tblCellMar>
            <w:top w:w="0" w:type="dxa"/>
            <w:left w:w="0" w:type="dxa"/>
            <w:bottom w:w="0" w:type="dxa"/>
            <w:right w:w="0" w:type="dxa"/>
          </w:tblCellMar>
        </w:tblPrEx>
        <w:trPr>
          <w:trHeight w:val="441" w:hRule="atLeast"/>
        </w:trPr>
        <w:tc>
          <w:tcPr>
            <w:tcW w:w="100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1134"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9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c>
          <w:tcPr>
            <w:tcW w:w="982" w:type="dxa"/>
            <w:tcBorders>
              <w:top w:val="single" w:color="auto" w:sz="8" w:space="0"/>
              <w:left w:val="single" w:color="auto" w:sz="8" w:space="0"/>
              <w:bottom w:val="single" w:color="auto" w:sz="8" w:space="0"/>
              <w:right w:val="single" w:color="auto" w:sz="8" w:space="0"/>
            </w:tcBorders>
          </w:tcPr>
          <w:p>
            <w:pPr>
              <w:rPr>
                <w:rFonts w:ascii="仿宋" w:hAnsi="仿宋" w:eastAsia="仿宋"/>
                <w:kern w:val="0"/>
                <w:sz w:val="20"/>
                <w:szCs w:val="20"/>
              </w:rPr>
            </w:pP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注：基本支出预算经济分类科目各单位根据本单位实际据实填写。</w:t>
      </w:r>
    </w:p>
    <w:p>
      <w:pPr>
        <w:rPr>
          <w:rFonts w:ascii="黑体" w:hAnsi="黑体" w:eastAsia="黑体"/>
          <w:kern w:val="0"/>
          <w:sz w:val="24"/>
        </w:rPr>
      </w:pPr>
      <w:r>
        <w:rPr>
          <w:rFonts w:hint="eastAsia" w:ascii="黑体" w:hAnsi="黑体" w:eastAsia="黑体"/>
          <w:kern w:val="0"/>
          <w:sz w:val="32"/>
          <w:szCs w:val="32"/>
        </w:rPr>
        <w:t>七、部门收支预算总表</w:t>
      </w:r>
    </w:p>
    <w:p>
      <w:pPr>
        <w:jc w:val="center"/>
        <w:rPr>
          <w:rFonts w:ascii="仿宋" w:hAnsi="仿宋" w:eastAsia="仿宋"/>
          <w:kern w:val="0"/>
          <w:sz w:val="24"/>
        </w:rPr>
      </w:pPr>
      <w:r>
        <w:rPr>
          <w:rFonts w:hint="eastAsia" w:ascii="仿宋" w:hAnsi="仿宋" w:eastAsia="仿宋"/>
          <w:b/>
          <w:kern w:val="0"/>
          <w:sz w:val="36"/>
          <w:szCs w:val="36"/>
        </w:rPr>
        <w:t>部门收支预算总表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6"/>
        <w:tblW w:w="13160" w:type="dxa"/>
        <w:tblInd w:w="0" w:type="dxa"/>
        <w:tblLayout w:type="fixed"/>
        <w:tblCellMar>
          <w:top w:w="0" w:type="dxa"/>
          <w:left w:w="0" w:type="dxa"/>
          <w:bottom w:w="0" w:type="dxa"/>
          <w:right w:w="0" w:type="dxa"/>
        </w:tblCellMar>
      </w:tblPr>
      <w:tblGrid>
        <w:gridCol w:w="3852"/>
        <w:gridCol w:w="1364"/>
        <w:gridCol w:w="3852"/>
        <w:gridCol w:w="14"/>
        <w:gridCol w:w="1350"/>
        <w:gridCol w:w="68"/>
        <w:gridCol w:w="1276"/>
        <w:gridCol w:w="20"/>
        <w:gridCol w:w="1364"/>
      </w:tblGrid>
      <w:tr>
        <w:tblPrEx>
          <w:tblLayout w:type="fixed"/>
          <w:tblCellMar>
            <w:top w:w="0" w:type="dxa"/>
            <w:left w:w="0" w:type="dxa"/>
            <w:bottom w:w="0" w:type="dxa"/>
            <w:right w:w="0" w:type="dxa"/>
          </w:tblCellMar>
        </w:tblPrEx>
        <w:trPr>
          <w:trHeight w:val="450"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7"/>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目</w:t>
            </w:r>
          </w:p>
        </w:tc>
        <w:tc>
          <w:tcPr>
            <w:tcW w:w="136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c>
          <w:tcPr>
            <w:tcW w:w="3852"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项目（按功能分类）</w:t>
            </w:r>
          </w:p>
        </w:tc>
        <w:tc>
          <w:tcPr>
            <w:tcW w:w="4092" w:type="dxa"/>
            <w:gridSpan w:val="6"/>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3852"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小计</w:t>
            </w: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一、本年支出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4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（一）一般公共服务支出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38"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（二）外交支出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（三）事业收入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（三）国防支出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51"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（四）事业单位经营收入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（四）公共安全支出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59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（五）其他收入</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（五）教育支出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35"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（六）科学技术支出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45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（七）文化体育与传媒支出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1357.86</w:t>
            </w: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1357.86</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449"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（八）社会保障和就业支出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71.50</w:t>
            </w: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71.50</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4"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（九）医疗卫生与计划生育支出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30.68</w:t>
            </w: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30.68</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32"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（十）节能环保支出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18"/>
                <w:szCs w:val="18"/>
              </w:rPr>
            </w:pPr>
          </w:p>
        </w:tc>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（十一）城乡社区支出</w:t>
            </w:r>
          </w:p>
        </w:tc>
        <w:tc>
          <w:tcPr>
            <w:tcW w:w="136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gridSpan w:val="3"/>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53" w:hRule="atLeast"/>
        </w:trPr>
        <w:tc>
          <w:tcPr>
            <w:tcW w:w="521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b/>
                <w:kern w:val="0"/>
                <w:sz w:val="18"/>
                <w:szCs w:val="18"/>
              </w:rPr>
            </w:pPr>
            <w:r>
              <w:rPr>
                <w:rFonts w:hint="eastAsia" w:ascii="仿宋" w:hAnsi="仿宋" w:eastAsia="仿宋"/>
                <w:b/>
                <w:color w:val="000000"/>
                <w:kern w:val="0"/>
                <w:sz w:val="22"/>
                <w:szCs w:val="22"/>
              </w:rPr>
              <w:t>收</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入</w:t>
            </w:r>
          </w:p>
        </w:tc>
        <w:tc>
          <w:tcPr>
            <w:tcW w:w="7944" w:type="dxa"/>
            <w:gridSpan w:val="7"/>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支</w:t>
            </w:r>
            <w:r>
              <w:rPr>
                <w:rFonts w:hint="eastAsia" w:ascii="宋体" w:hAnsi="宋体" w:eastAsia="仿宋"/>
                <w:b/>
                <w:color w:val="000000"/>
                <w:kern w:val="0"/>
                <w:sz w:val="22"/>
                <w:szCs w:val="22"/>
              </w:rPr>
              <w:t>    </w:t>
            </w:r>
            <w:r>
              <w:rPr>
                <w:rFonts w:hint="eastAsia" w:ascii="仿宋" w:hAnsi="仿宋" w:eastAsia="仿宋"/>
                <w:b/>
                <w:color w:val="000000"/>
                <w:kern w:val="0"/>
                <w:sz w:val="22"/>
                <w:szCs w:val="22"/>
              </w:rPr>
              <w:t>出</w:t>
            </w:r>
          </w:p>
        </w:tc>
      </w:tr>
      <w:tr>
        <w:tblPrEx>
          <w:tblLayout w:type="fixed"/>
          <w:tblCellMar>
            <w:top w:w="0" w:type="dxa"/>
            <w:left w:w="0" w:type="dxa"/>
            <w:bottom w:w="0" w:type="dxa"/>
            <w:right w:w="0" w:type="dxa"/>
          </w:tblCellMar>
        </w:tblPrEx>
        <w:trPr>
          <w:trHeight w:val="453" w:hRule="atLeast"/>
        </w:trPr>
        <w:tc>
          <w:tcPr>
            <w:tcW w:w="3852"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   目</w:t>
            </w:r>
          </w:p>
        </w:tc>
        <w:tc>
          <w:tcPr>
            <w:tcW w:w="1364" w:type="dxa"/>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预算数</w:t>
            </w:r>
          </w:p>
        </w:tc>
        <w:tc>
          <w:tcPr>
            <w:tcW w:w="3866" w:type="dxa"/>
            <w:gridSpan w:val="2"/>
            <w:vMerge w:val="restart"/>
            <w:tcBorders>
              <w:top w:val="single" w:color="000000" w:sz="8" w:space="0"/>
              <w:left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项目（按功能分类）</w:t>
            </w:r>
          </w:p>
        </w:tc>
        <w:tc>
          <w:tcPr>
            <w:tcW w:w="4078" w:type="dxa"/>
            <w:gridSpan w:val="5"/>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18"/>
                <w:szCs w:val="18"/>
              </w:rPr>
            </w:pPr>
            <w:r>
              <w:rPr>
                <w:rFonts w:hint="eastAsia" w:ascii="仿宋" w:hAnsi="仿宋" w:eastAsia="仿宋"/>
                <w:b/>
                <w:color w:val="000000"/>
                <w:kern w:val="0"/>
                <w:sz w:val="22"/>
                <w:szCs w:val="22"/>
              </w:rPr>
              <w:t>预算数</w:t>
            </w:r>
          </w:p>
        </w:tc>
      </w:tr>
      <w:tr>
        <w:tblPrEx>
          <w:tblLayout w:type="fixed"/>
          <w:tblCellMar>
            <w:top w:w="0" w:type="dxa"/>
            <w:left w:w="0" w:type="dxa"/>
            <w:bottom w:w="0" w:type="dxa"/>
            <w:right w:w="0" w:type="dxa"/>
          </w:tblCellMar>
        </w:tblPrEx>
        <w:trPr>
          <w:trHeight w:val="453" w:hRule="atLeast"/>
        </w:trPr>
        <w:tc>
          <w:tcPr>
            <w:tcW w:w="3852" w:type="dxa"/>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364" w:type="dxa"/>
            <w:vMerge w:val="continue"/>
            <w:tcBorders>
              <w:left w:val="single" w:color="000000" w:sz="8" w:space="0"/>
              <w:bottom w:val="single" w:color="000000" w:sz="8" w:space="0"/>
              <w:right w:val="single" w:color="000000" w:sz="8" w:space="0"/>
            </w:tcBorders>
            <w:vAlign w:val="center"/>
          </w:tcPr>
          <w:p>
            <w:pPr>
              <w:jc w:val="right"/>
              <w:rPr>
                <w:rFonts w:ascii="仿宋" w:hAnsi="仿宋" w:eastAsia="仿宋"/>
                <w:b/>
                <w:kern w:val="0"/>
                <w:sz w:val="24"/>
              </w:rPr>
            </w:pPr>
          </w:p>
        </w:tc>
        <w:tc>
          <w:tcPr>
            <w:tcW w:w="3866" w:type="dxa"/>
            <w:gridSpan w:val="2"/>
            <w:vMerge w:val="continue"/>
            <w:tcBorders>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小计</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公共预算财政拨款</w:t>
            </w: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b/>
                <w:kern w:val="0"/>
                <w:sz w:val="24"/>
              </w:rPr>
            </w:pPr>
            <w:r>
              <w:rPr>
                <w:rFonts w:hint="eastAsia" w:ascii="仿宋" w:hAnsi="仿宋" w:eastAsia="仿宋"/>
                <w:b/>
                <w:color w:val="000000"/>
                <w:kern w:val="0"/>
                <w:sz w:val="22"/>
                <w:szCs w:val="22"/>
              </w:rPr>
              <w:t>政府性基金预算财政拨款</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（十二）农林水支出</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（十三）交通运输支出</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（十四）资源勘探信息等支出</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（十五）商业服务业等支出</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（十六)金融支出</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（十七）国土海洋气象支出</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（十八）住房保障支出</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27.22</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27.22</w:t>
            </w: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color w:val="000000"/>
                <w:kern w:val="0"/>
                <w:sz w:val="22"/>
                <w:szCs w:val="22"/>
              </w:rPr>
              <w:t>　</w:t>
            </w: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（十九）粮油物资储备支出</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（二十）国债还本付息支出</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color w:val="000000"/>
                <w:kern w:val="0"/>
                <w:sz w:val="22"/>
                <w:szCs w:val="22"/>
              </w:rPr>
            </w:pPr>
            <w:r>
              <w:rPr>
                <w:rFonts w:hint="eastAsia" w:ascii="仿宋" w:hAnsi="仿宋" w:eastAsia="仿宋"/>
                <w:color w:val="000000"/>
                <w:kern w:val="0"/>
                <w:sz w:val="22"/>
                <w:szCs w:val="22"/>
              </w:rPr>
              <w:t>（二十一）其他支出</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二、上年结转结余</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b/>
                <w:color w:val="000000"/>
                <w:kern w:val="0"/>
                <w:sz w:val="22"/>
                <w:szCs w:val="22"/>
              </w:rPr>
              <w:t>二、年末结转结余</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color w:val="000000"/>
                <w:kern w:val="0"/>
                <w:sz w:val="22"/>
                <w:szCs w:val="22"/>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其中：公共预算财政拨款</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r>
              <w:rPr>
                <w:rFonts w:hint="eastAsia" w:ascii="仿宋" w:hAnsi="仿宋" w:eastAsia="仿宋"/>
                <w:color w:val="000000"/>
                <w:kern w:val="0"/>
                <w:sz w:val="22"/>
                <w:szCs w:val="22"/>
              </w:rPr>
              <w:t>政府性基金预算财政拨款</w:t>
            </w:r>
          </w:p>
        </w:tc>
        <w:tc>
          <w:tcPr>
            <w:tcW w:w="1418" w:type="dxa"/>
            <w:gridSpan w:val="2"/>
            <w:tcBorders>
              <w:top w:val="nil"/>
              <w:left w:val="nil"/>
              <w:bottom w:val="nil"/>
              <w:right w:val="nil"/>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24"/>
              </w:rPr>
            </w:pP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rPr>
                <w:rFonts w:ascii="仿宋" w:hAnsi="仿宋" w:eastAsia="仿宋"/>
                <w:kern w:val="0"/>
                <w:sz w:val="18"/>
                <w:szCs w:val="18"/>
              </w:rPr>
            </w:pPr>
          </w:p>
        </w:tc>
        <w:tc>
          <w:tcPr>
            <w:tcW w:w="1418" w:type="dxa"/>
            <w:gridSpan w:val="2"/>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24"/>
              </w:rPr>
            </w:pP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r>
      <w:tr>
        <w:tblPrEx>
          <w:tblLayout w:type="fixed"/>
          <w:tblCellMar>
            <w:top w:w="0" w:type="dxa"/>
            <w:left w:w="0" w:type="dxa"/>
            <w:bottom w:w="0" w:type="dxa"/>
            <w:right w:w="0" w:type="dxa"/>
          </w:tblCellMar>
        </w:tblPrEx>
        <w:trPr>
          <w:trHeight w:val="397" w:hRule="atLeast"/>
        </w:trPr>
        <w:tc>
          <w:tcPr>
            <w:tcW w:w="3852" w:type="dxa"/>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收入总计</w:t>
            </w:r>
          </w:p>
        </w:tc>
        <w:tc>
          <w:tcPr>
            <w:tcW w:w="13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386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color w:val="000000"/>
                <w:kern w:val="0"/>
                <w:sz w:val="22"/>
                <w:szCs w:val="22"/>
              </w:rPr>
              <w:t>支出总计</w:t>
            </w:r>
          </w:p>
        </w:tc>
        <w:tc>
          <w:tcPr>
            <w:tcW w:w="1418"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1276" w:type="dxa"/>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r>
              <w:rPr>
                <w:rFonts w:hint="eastAsia" w:ascii="仿宋" w:hAnsi="仿宋" w:eastAsia="仿宋"/>
                <w:kern w:val="0"/>
                <w:sz w:val="24"/>
              </w:rPr>
              <w:t>1487.26</w:t>
            </w:r>
          </w:p>
        </w:tc>
        <w:tc>
          <w:tcPr>
            <w:tcW w:w="1384"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仿宋" w:hAnsi="仿宋" w:eastAsia="仿宋"/>
                <w:kern w:val="0"/>
                <w:sz w:val="24"/>
              </w:rPr>
            </w:pPr>
          </w:p>
        </w:tc>
      </w:tr>
    </w:tbl>
    <w:p>
      <w:pPr>
        <w:rPr>
          <w:rFonts w:ascii="仿宋" w:hAnsi="仿宋" w:eastAsia="仿宋"/>
          <w:b/>
          <w:kern w:val="0"/>
          <w:sz w:val="32"/>
          <w:szCs w:val="32"/>
        </w:rPr>
      </w:pPr>
    </w:p>
    <w:p>
      <w:pPr>
        <w:rPr>
          <w:rFonts w:ascii="仿宋" w:hAnsi="仿宋" w:eastAsia="仿宋"/>
          <w:kern w:val="0"/>
          <w:sz w:val="32"/>
          <w:szCs w:val="32"/>
        </w:rPr>
      </w:pPr>
      <w:r>
        <w:rPr>
          <w:rFonts w:hint="eastAsia" w:ascii="仿宋" w:hAnsi="仿宋" w:eastAsia="仿宋"/>
          <w:kern w:val="0"/>
          <w:sz w:val="32"/>
          <w:szCs w:val="32"/>
        </w:rPr>
        <w:t>注：支出预算功能科目各单位根据本单位实际据实填写，其他科目删除。</w:t>
      </w:r>
    </w:p>
    <w:p>
      <w:pPr>
        <w:rPr>
          <w:rFonts w:ascii="黑体" w:hAnsi="黑体" w:eastAsia="黑体"/>
          <w:kern w:val="0"/>
          <w:sz w:val="24"/>
        </w:rPr>
      </w:pPr>
      <w:r>
        <w:rPr>
          <w:rFonts w:hint="eastAsia" w:ascii="黑体" w:hAnsi="黑体" w:eastAsia="黑体"/>
          <w:kern w:val="0"/>
          <w:sz w:val="32"/>
          <w:szCs w:val="32"/>
        </w:rPr>
        <w:t>八、部门收入总表</w:t>
      </w:r>
    </w:p>
    <w:p>
      <w:pPr>
        <w:jc w:val="center"/>
        <w:rPr>
          <w:rFonts w:ascii="仿宋" w:hAnsi="仿宋" w:eastAsia="仿宋"/>
          <w:kern w:val="0"/>
          <w:sz w:val="32"/>
          <w:szCs w:val="32"/>
        </w:rPr>
      </w:pPr>
      <w:r>
        <w:rPr>
          <w:rFonts w:hint="eastAsia" w:ascii="仿宋" w:hAnsi="仿宋" w:eastAsia="仿宋"/>
          <w:b/>
          <w:kern w:val="0"/>
          <w:sz w:val="32"/>
          <w:szCs w:val="32"/>
        </w:rPr>
        <w:t>部门收入总表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6"/>
        <w:tblW w:w="14094" w:type="dxa"/>
        <w:tblInd w:w="10" w:type="dxa"/>
        <w:tblLayout w:type="fixed"/>
        <w:tblCellMar>
          <w:top w:w="0" w:type="dxa"/>
          <w:left w:w="0" w:type="dxa"/>
          <w:bottom w:w="0" w:type="dxa"/>
          <w:right w:w="0" w:type="dxa"/>
        </w:tblCellMar>
      </w:tblPr>
      <w:tblGrid>
        <w:gridCol w:w="1206"/>
        <w:gridCol w:w="1909"/>
        <w:gridCol w:w="1177"/>
        <w:gridCol w:w="1177"/>
        <w:gridCol w:w="1177"/>
        <w:gridCol w:w="1192"/>
        <w:gridCol w:w="1177"/>
        <w:gridCol w:w="873"/>
        <w:gridCol w:w="915"/>
        <w:gridCol w:w="1097"/>
        <w:gridCol w:w="1097"/>
        <w:gridCol w:w="1097"/>
      </w:tblGrid>
      <w:tr>
        <w:tblPrEx>
          <w:tblLayout w:type="fixed"/>
          <w:tblCellMar>
            <w:top w:w="0" w:type="dxa"/>
            <w:left w:w="0" w:type="dxa"/>
            <w:bottom w:w="0" w:type="dxa"/>
            <w:right w:w="0" w:type="dxa"/>
          </w:tblCellMar>
        </w:tblPrEx>
        <w:trPr>
          <w:trHeight w:val="344" w:hRule="atLeast"/>
        </w:trPr>
        <w:tc>
          <w:tcPr>
            <w:tcW w:w="311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17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3546"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财政拨款收入</w:t>
            </w:r>
          </w:p>
        </w:tc>
        <w:tc>
          <w:tcPr>
            <w:tcW w:w="117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事业收入</w:t>
            </w:r>
          </w:p>
        </w:tc>
        <w:tc>
          <w:tcPr>
            <w:tcW w:w="873"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事业单位经营收入</w:t>
            </w:r>
          </w:p>
        </w:tc>
        <w:tc>
          <w:tcPr>
            <w:tcW w:w="915"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上级补助收入</w:t>
            </w:r>
          </w:p>
        </w:tc>
        <w:tc>
          <w:tcPr>
            <w:tcW w:w="109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下级单位上缴收入</w:t>
            </w:r>
          </w:p>
        </w:tc>
        <w:tc>
          <w:tcPr>
            <w:tcW w:w="109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其他收入</w:t>
            </w:r>
          </w:p>
        </w:tc>
        <w:tc>
          <w:tcPr>
            <w:tcW w:w="1097" w:type="dxa"/>
            <w:vMerge w:val="restart"/>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用事业基金弥补收支差额</w:t>
            </w:r>
          </w:p>
        </w:tc>
      </w:tr>
      <w:tr>
        <w:tblPrEx>
          <w:tblLayout w:type="fixed"/>
          <w:tblCellMar>
            <w:top w:w="0" w:type="dxa"/>
            <w:left w:w="0" w:type="dxa"/>
            <w:bottom w:w="0" w:type="dxa"/>
            <w:right w:w="0" w:type="dxa"/>
          </w:tblCellMar>
        </w:tblPrEx>
        <w:trPr>
          <w:trHeight w:val="713" w:hRule="atLeast"/>
        </w:trPr>
        <w:tc>
          <w:tcPr>
            <w:tcW w:w="1206"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190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17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7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小计</w:t>
            </w:r>
          </w:p>
        </w:tc>
        <w:tc>
          <w:tcPr>
            <w:tcW w:w="117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公共财政预算拨款收入</w:t>
            </w: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政府性基金预算拨款收入</w:t>
            </w:r>
          </w:p>
        </w:tc>
        <w:tc>
          <w:tcPr>
            <w:tcW w:w="117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73"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15"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9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9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97" w:type="dxa"/>
            <w:vMerge w:val="continue"/>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326"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2070406</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电影</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35</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35</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35</w:t>
            </w:r>
          </w:p>
        </w:tc>
        <w:tc>
          <w:tcPr>
            <w:tcW w:w="119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17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87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915"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9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9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c>
          <w:tcPr>
            <w:tcW w:w="1097"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341"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2070108</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文化活动</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20</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b/>
                <w:kern w:val="0"/>
                <w:sz w:val="24"/>
              </w:rPr>
              <w:t>　</w:t>
            </w:r>
          </w:p>
        </w:tc>
      </w:tr>
      <w:tr>
        <w:tblPrEx>
          <w:tblLayout w:type="fixed"/>
          <w:tblCellMar>
            <w:top w:w="0" w:type="dxa"/>
            <w:left w:w="0" w:type="dxa"/>
            <w:bottom w:w="0" w:type="dxa"/>
            <w:right w:w="0" w:type="dxa"/>
          </w:tblCellMar>
        </w:tblPrEx>
        <w:trPr>
          <w:trHeight w:val="335"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2070308</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群众体育</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87</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87</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87</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r>
              <w:rPr>
                <w:rFonts w:hint="eastAsia" w:ascii="仿宋" w:hAnsi="仿宋" w:eastAsia="仿宋"/>
                <w:kern w:val="0"/>
                <w:sz w:val="24"/>
              </w:rPr>
              <w:t>　</w:t>
            </w:r>
          </w:p>
        </w:tc>
      </w:tr>
      <w:tr>
        <w:tblPrEx>
          <w:tblLayout w:type="fixed"/>
          <w:tblCellMar>
            <w:top w:w="0" w:type="dxa"/>
            <w:left w:w="0" w:type="dxa"/>
            <w:bottom w:w="0" w:type="dxa"/>
            <w:right w:w="0" w:type="dxa"/>
          </w:tblCellMar>
        </w:tblPrEx>
        <w:trPr>
          <w:trHeight w:val="339"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2070101</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行政运行</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343.71</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343.71</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343.71</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45"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2070107</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艺术表演团体</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180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180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180</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49"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2070499</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其他新闻出版广播影视支出</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110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110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110</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32"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2070199</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其他文化支出</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455.55</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455.55</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455.55</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48"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2070305</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体育竞赛</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30</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40"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2070399</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其他体育支出</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96.60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96.60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96.60</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35"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2080504</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未归口管理的行政单位离退休</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10.75</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10.75</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10.75</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35"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2210201</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住房公积金</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27.22</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27.22</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27.22</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35"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2080506</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机关事业单位职业年金缴费支</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35"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2101101</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行政单位医疗</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35"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2080505</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机关事业单位基本养老保险缴</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43.40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43.40</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43.40</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35" w:hRule="atLeast"/>
        </w:trPr>
        <w:tc>
          <w:tcPr>
            <w:tcW w:w="1206"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2101103</w:t>
            </w:r>
          </w:p>
        </w:tc>
        <w:tc>
          <w:tcPr>
            <w:tcW w:w="1909"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公务员医疗补助</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177"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192"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17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87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915"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097"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rPr>
          <w:rFonts w:ascii="黑体" w:hAnsi="黑体" w:eastAsia="黑体"/>
          <w:kern w:val="0"/>
          <w:sz w:val="24"/>
        </w:rPr>
      </w:pPr>
      <w:r>
        <w:rPr>
          <w:rFonts w:hint="eastAsia" w:ascii="黑体" w:hAnsi="黑体" w:eastAsia="黑体"/>
          <w:kern w:val="0"/>
          <w:sz w:val="32"/>
          <w:szCs w:val="32"/>
        </w:rPr>
        <w:t>九、部门支出总表</w:t>
      </w:r>
    </w:p>
    <w:p>
      <w:pPr>
        <w:jc w:val="center"/>
        <w:rPr>
          <w:rFonts w:ascii="仿宋" w:hAnsi="仿宋" w:eastAsia="仿宋"/>
          <w:b/>
          <w:kern w:val="0"/>
          <w:sz w:val="32"/>
          <w:szCs w:val="32"/>
        </w:rPr>
      </w:pPr>
      <w:r>
        <w:rPr>
          <w:rFonts w:hint="eastAsia" w:ascii="仿宋" w:hAnsi="仿宋" w:eastAsia="仿宋"/>
          <w:b/>
          <w:kern w:val="0"/>
          <w:sz w:val="32"/>
          <w:szCs w:val="32"/>
        </w:rPr>
        <w:t>部门支出总表</w:t>
      </w:r>
    </w:p>
    <w:p>
      <w:pPr>
        <w:rPr>
          <w:rFonts w:ascii="仿宋" w:hAnsi="仿宋" w:eastAsia="仿宋"/>
          <w:kern w:val="0"/>
          <w:sz w:val="28"/>
          <w:szCs w:val="28"/>
        </w:rPr>
      </w:pPr>
      <w:r>
        <w:rPr>
          <w:rFonts w:hint="eastAsia" w:ascii="仿宋" w:hAnsi="宋体" w:eastAsia="仿宋"/>
          <w:kern w:val="0"/>
          <w:sz w:val="32"/>
          <w:szCs w:val="32"/>
        </w:rPr>
        <w:t>                          </w:t>
      </w:r>
      <w:r>
        <w:rPr>
          <w:rFonts w:hint="eastAsia" w:ascii="仿宋" w:hAnsi="仿宋" w:eastAsia="仿宋"/>
          <w:kern w:val="0"/>
          <w:sz w:val="32"/>
          <w:szCs w:val="32"/>
        </w:rPr>
        <w:t xml:space="preserve">                    </w:t>
      </w:r>
      <w:r>
        <w:rPr>
          <w:rFonts w:hint="eastAsia" w:ascii="仿宋" w:hAnsi="仿宋" w:eastAsia="仿宋"/>
          <w:kern w:val="0"/>
          <w:sz w:val="28"/>
          <w:szCs w:val="28"/>
        </w:rPr>
        <w:t xml:space="preserve"> 单位：万元</w:t>
      </w:r>
    </w:p>
    <w:tbl>
      <w:tblPr>
        <w:tblStyle w:val="6"/>
        <w:tblW w:w="13785" w:type="dxa"/>
        <w:tblInd w:w="0" w:type="dxa"/>
        <w:tblLayout w:type="fixed"/>
        <w:tblCellMar>
          <w:top w:w="0" w:type="dxa"/>
          <w:left w:w="0" w:type="dxa"/>
          <w:bottom w:w="0" w:type="dxa"/>
          <w:right w:w="0" w:type="dxa"/>
        </w:tblCellMar>
      </w:tblPr>
      <w:tblGrid>
        <w:gridCol w:w="1243"/>
        <w:gridCol w:w="2972"/>
        <w:gridCol w:w="1824"/>
        <w:gridCol w:w="1824"/>
        <w:gridCol w:w="1583"/>
        <w:gridCol w:w="1509"/>
        <w:gridCol w:w="1509"/>
        <w:gridCol w:w="1321"/>
      </w:tblGrid>
      <w:tr>
        <w:tblPrEx>
          <w:tblLayout w:type="fixed"/>
          <w:tblCellMar>
            <w:top w:w="0" w:type="dxa"/>
            <w:left w:w="0" w:type="dxa"/>
            <w:bottom w:w="0" w:type="dxa"/>
            <w:right w:w="0" w:type="dxa"/>
          </w:tblCellMar>
        </w:tblPrEx>
        <w:trPr>
          <w:trHeight w:val="391" w:hRule="atLeast"/>
        </w:trPr>
        <w:tc>
          <w:tcPr>
            <w:tcW w:w="4215"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功能分类科目</w:t>
            </w:r>
          </w:p>
        </w:tc>
        <w:tc>
          <w:tcPr>
            <w:tcW w:w="182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合计</w:t>
            </w:r>
          </w:p>
        </w:tc>
        <w:tc>
          <w:tcPr>
            <w:tcW w:w="182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基本支出</w:t>
            </w:r>
          </w:p>
        </w:tc>
        <w:tc>
          <w:tcPr>
            <w:tcW w:w="1583"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项目支出</w:t>
            </w:r>
          </w:p>
        </w:tc>
        <w:tc>
          <w:tcPr>
            <w:tcW w:w="150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上缴上级支出</w:t>
            </w:r>
          </w:p>
        </w:tc>
        <w:tc>
          <w:tcPr>
            <w:tcW w:w="1509"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事业单位经营支出</w:t>
            </w:r>
          </w:p>
        </w:tc>
        <w:tc>
          <w:tcPr>
            <w:tcW w:w="1321"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r>
              <w:rPr>
                <w:rFonts w:hint="eastAsia" w:ascii="仿宋" w:hAnsi="仿宋" w:eastAsia="仿宋"/>
                <w:b/>
                <w:kern w:val="0"/>
                <w:sz w:val="24"/>
              </w:rPr>
              <w:t>对下级单位补助支出</w:t>
            </w:r>
          </w:p>
        </w:tc>
      </w:tr>
      <w:tr>
        <w:tblPrEx>
          <w:tblLayout w:type="fixed"/>
          <w:tblCellMar>
            <w:top w:w="0" w:type="dxa"/>
            <w:left w:w="0" w:type="dxa"/>
            <w:bottom w:w="0" w:type="dxa"/>
            <w:right w:w="0" w:type="dxa"/>
          </w:tblCellMar>
        </w:tblPrEx>
        <w:trPr>
          <w:trHeight w:val="396" w:hRule="atLeast"/>
        </w:trPr>
        <w:tc>
          <w:tcPr>
            <w:tcW w:w="1243"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科目编码</w:t>
            </w:r>
          </w:p>
        </w:tc>
        <w:tc>
          <w:tcPr>
            <w:tcW w:w="2972"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24"/>
              </w:rPr>
            </w:pPr>
            <w:r>
              <w:rPr>
                <w:rFonts w:hint="eastAsia" w:ascii="仿宋" w:hAnsi="仿宋" w:eastAsia="仿宋"/>
                <w:b/>
                <w:kern w:val="0"/>
                <w:sz w:val="24"/>
              </w:rPr>
              <w:t>科目名称</w:t>
            </w:r>
          </w:p>
        </w:tc>
        <w:tc>
          <w:tcPr>
            <w:tcW w:w="182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824"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583"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50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509"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c>
          <w:tcPr>
            <w:tcW w:w="1321" w:type="dxa"/>
            <w:vMerge w:val="continue"/>
            <w:tcBorders>
              <w:top w:val="single" w:color="000000" w:sz="8" w:space="0"/>
              <w:left w:val="single" w:color="000000" w:sz="8" w:space="0"/>
              <w:bottom w:val="single" w:color="000000" w:sz="8" w:space="0"/>
              <w:right w:val="single" w:color="000000" w:sz="8" w:space="0"/>
            </w:tcBorders>
            <w:vAlign w:val="center"/>
          </w:tcPr>
          <w:p>
            <w:pPr>
              <w:jc w:val="center"/>
              <w:rPr>
                <w:rFonts w:ascii="仿宋" w:hAnsi="仿宋" w:eastAsia="仿宋"/>
                <w:kern w:val="0"/>
                <w:sz w:val="24"/>
              </w:rPr>
            </w:pPr>
          </w:p>
        </w:tc>
      </w:tr>
      <w:tr>
        <w:tblPrEx>
          <w:tblLayout w:type="fixed"/>
          <w:tblCellMar>
            <w:top w:w="0" w:type="dxa"/>
            <w:left w:w="0" w:type="dxa"/>
            <w:bottom w:w="0" w:type="dxa"/>
            <w:right w:w="0" w:type="dxa"/>
          </w:tblCellMar>
        </w:tblPrEx>
        <w:trPr>
          <w:trHeight w:val="390"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2070406</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电影</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35.00　</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p>
        </w:tc>
        <w:tc>
          <w:tcPr>
            <w:tcW w:w="1583"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35.00　</w:t>
            </w:r>
          </w:p>
        </w:tc>
        <w:tc>
          <w:tcPr>
            <w:tcW w:w="150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jc w:val="cente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95"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2070108</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文化活动</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20.00</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p>
        </w:tc>
        <w:tc>
          <w:tcPr>
            <w:tcW w:w="1583"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20.00</w:t>
            </w: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01"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2070308</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群众体育</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87.00</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83"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87.00</w:t>
            </w: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81"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2070101</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行政运行</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343.71</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343.70</w:t>
            </w:r>
          </w:p>
        </w:tc>
        <w:tc>
          <w:tcPr>
            <w:tcW w:w="1583"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98"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2070107</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艺术表演团体</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180.00</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p>
        </w:tc>
        <w:tc>
          <w:tcPr>
            <w:tcW w:w="1583"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180.00</w:t>
            </w: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92"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2070499</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其他新闻出版广播影视支出</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110.00</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83"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110.00</w:t>
            </w: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98"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2070199</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其他文化支出</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455.55</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83"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455.55</w:t>
            </w: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90"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2070305</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体育竞赛</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30.00　</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83"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30.00　</w:t>
            </w: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395"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2070399</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其他体育支出</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96.60</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　</w:t>
            </w:r>
          </w:p>
        </w:tc>
        <w:tc>
          <w:tcPr>
            <w:tcW w:w="1583"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96.60</w:t>
            </w: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00"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2080504</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未归口管理的行政单位离退休</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10.75</w:t>
            </w:r>
          </w:p>
        </w:tc>
        <w:tc>
          <w:tcPr>
            <w:tcW w:w="1824" w:type="dxa"/>
            <w:tcBorders>
              <w:top w:val="single" w:color="auto" w:sz="8" w:space="0"/>
              <w:left w:val="single" w:color="auto" w:sz="8" w:space="0"/>
              <w:bottom w:val="single" w:color="auto" w:sz="8" w:space="0"/>
              <w:right w:val="single" w:color="auto" w:sz="8" w:space="0"/>
            </w:tcBorders>
            <w:vAlign w:val="center"/>
          </w:tcPr>
          <w:p>
            <w:pPr>
              <w:wordWrap w:val="0"/>
              <w:jc w:val="right"/>
              <w:rPr>
                <w:rFonts w:ascii="仿宋" w:hAnsi="仿宋" w:eastAsia="仿宋"/>
                <w:kern w:val="0"/>
                <w:sz w:val="18"/>
                <w:szCs w:val="18"/>
              </w:rPr>
            </w:pPr>
            <w:r>
              <w:rPr>
                <w:rFonts w:hint="eastAsia" w:ascii="仿宋" w:hAnsi="仿宋" w:eastAsia="仿宋"/>
                <w:kern w:val="0"/>
                <w:sz w:val="18"/>
                <w:szCs w:val="18"/>
              </w:rPr>
              <w:t xml:space="preserve"> 10.75</w:t>
            </w:r>
          </w:p>
        </w:tc>
        <w:tc>
          <w:tcPr>
            <w:tcW w:w="158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00"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2210201</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住房公积金</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27.22</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　43.40</w:t>
            </w:r>
          </w:p>
        </w:tc>
        <w:tc>
          <w:tcPr>
            <w:tcW w:w="158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00"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2080506</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机关事业单位职业年金缴费支</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　17.36</w:t>
            </w:r>
          </w:p>
        </w:tc>
        <w:tc>
          <w:tcPr>
            <w:tcW w:w="158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00"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2101101</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行政单位医疗</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17.36</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　17.36</w:t>
            </w:r>
          </w:p>
        </w:tc>
        <w:tc>
          <w:tcPr>
            <w:tcW w:w="158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00"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2080505</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机关事业单位基本养老保险缴</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43.40</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　13.33</w:t>
            </w:r>
          </w:p>
        </w:tc>
        <w:tc>
          <w:tcPr>
            <w:tcW w:w="158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r>
        <w:tblPrEx>
          <w:tblLayout w:type="fixed"/>
          <w:tblCellMar>
            <w:top w:w="0" w:type="dxa"/>
            <w:left w:w="0" w:type="dxa"/>
            <w:bottom w:w="0" w:type="dxa"/>
            <w:right w:w="0" w:type="dxa"/>
          </w:tblCellMar>
        </w:tblPrEx>
        <w:trPr>
          <w:trHeight w:val="400" w:hRule="atLeast"/>
        </w:trPr>
        <w:tc>
          <w:tcPr>
            <w:tcW w:w="1243" w:type="dxa"/>
            <w:tcBorders>
              <w:top w:val="single" w:color="auto" w:sz="8" w:space="0"/>
              <w:left w:val="single" w:color="auto" w:sz="8" w:space="0"/>
              <w:bottom w:val="single" w:color="auto" w:sz="8" w:space="0"/>
              <w:right w:val="single" w:color="auto" w:sz="8" w:space="0"/>
            </w:tcBorders>
            <w:vAlign w:val="center"/>
          </w:tcPr>
          <w:p>
            <w:pPr>
              <w:spacing w:line="200" w:lineRule="exact"/>
              <w:rPr>
                <w:rFonts w:ascii="仿宋" w:hAnsi="仿宋" w:eastAsia="仿宋"/>
                <w:kern w:val="0"/>
                <w:sz w:val="18"/>
                <w:szCs w:val="18"/>
              </w:rPr>
            </w:pPr>
            <w:r>
              <w:rPr>
                <w:rFonts w:hint="eastAsia" w:ascii="仿宋" w:hAnsi="仿宋" w:eastAsia="仿宋"/>
                <w:kern w:val="0"/>
                <w:sz w:val="18"/>
                <w:szCs w:val="18"/>
              </w:rPr>
              <w:t>2101103</w:t>
            </w:r>
          </w:p>
        </w:tc>
        <w:tc>
          <w:tcPr>
            <w:tcW w:w="2972" w:type="dxa"/>
            <w:tcBorders>
              <w:top w:val="single" w:color="auto" w:sz="8" w:space="0"/>
              <w:left w:val="single" w:color="auto" w:sz="8" w:space="0"/>
              <w:bottom w:val="single" w:color="auto" w:sz="8" w:space="0"/>
              <w:right w:val="single" w:color="auto" w:sz="8" w:space="0"/>
            </w:tcBorders>
            <w:vAlign w:val="center"/>
          </w:tcPr>
          <w:p>
            <w:pPr>
              <w:spacing w:line="200" w:lineRule="exact"/>
              <w:jc w:val="left"/>
              <w:rPr>
                <w:rFonts w:ascii="仿宋" w:hAnsi="仿宋" w:eastAsia="仿宋"/>
                <w:kern w:val="0"/>
                <w:sz w:val="18"/>
                <w:szCs w:val="18"/>
              </w:rPr>
            </w:pPr>
            <w:r>
              <w:rPr>
                <w:rFonts w:hint="eastAsia" w:ascii="仿宋" w:hAnsi="仿宋" w:eastAsia="仿宋"/>
                <w:kern w:val="0"/>
                <w:sz w:val="18"/>
                <w:szCs w:val="18"/>
              </w:rPr>
              <w:t>公务员医疗补助</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13.33</w:t>
            </w:r>
          </w:p>
        </w:tc>
        <w:tc>
          <w:tcPr>
            <w:tcW w:w="1824" w:type="dxa"/>
            <w:tcBorders>
              <w:top w:val="single" w:color="auto" w:sz="8" w:space="0"/>
              <w:left w:val="single" w:color="auto" w:sz="8" w:space="0"/>
              <w:bottom w:val="single" w:color="auto" w:sz="8" w:space="0"/>
              <w:right w:val="single" w:color="auto" w:sz="8" w:space="0"/>
            </w:tcBorders>
            <w:vAlign w:val="center"/>
          </w:tcPr>
          <w:p>
            <w:pPr>
              <w:jc w:val="right"/>
              <w:rPr>
                <w:rFonts w:ascii="仿宋" w:hAnsi="仿宋" w:eastAsia="仿宋"/>
                <w:kern w:val="0"/>
                <w:sz w:val="18"/>
                <w:szCs w:val="18"/>
              </w:rPr>
            </w:pPr>
            <w:r>
              <w:rPr>
                <w:rFonts w:hint="eastAsia" w:ascii="仿宋" w:hAnsi="仿宋" w:eastAsia="仿宋"/>
                <w:kern w:val="0"/>
                <w:sz w:val="18"/>
                <w:szCs w:val="18"/>
              </w:rPr>
              <w:t>　27.22</w:t>
            </w:r>
          </w:p>
        </w:tc>
        <w:tc>
          <w:tcPr>
            <w:tcW w:w="1583"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24"/>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509"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c>
          <w:tcPr>
            <w:tcW w:w="1321" w:type="dxa"/>
            <w:tcBorders>
              <w:top w:val="single" w:color="auto" w:sz="8" w:space="0"/>
              <w:left w:val="single" w:color="auto" w:sz="8" w:space="0"/>
              <w:bottom w:val="single" w:color="auto" w:sz="8" w:space="0"/>
              <w:right w:val="single" w:color="auto" w:sz="8" w:space="0"/>
            </w:tcBorders>
            <w:vAlign w:val="center"/>
          </w:tcPr>
          <w:p>
            <w:pPr>
              <w:rPr>
                <w:rFonts w:ascii="仿宋" w:hAnsi="仿宋" w:eastAsia="仿宋"/>
                <w:kern w:val="0"/>
                <w:sz w:val="18"/>
                <w:szCs w:val="18"/>
              </w:rPr>
            </w:pPr>
          </w:p>
        </w:tc>
      </w:tr>
    </w:tbl>
    <w:p>
      <w:pPr>
        <w:ind w:firstLine="716" w:firstLineChars="224"/>
        <w:rPr>
          <w:rFonts w:ascii="仿宋" w:hAnsi="仿宋" w:eastAsia="仿宋"/>
          <w:kern w:val="0"/>
          <w:sz w:val="32"/>
          <w:szCs w:val="32"/>
        </w:rPr>
        <w:sectPr>
          <w:pgSz w:w="16838" w:h="11906" w:orient="landscape"/>
          <w:pgMar w:top="1418" w:right="1418" w:bottom="1418" w:left="1701" w:header="851" w:footer="992" w:gutter="0"/>
          <w:cols w:space="720" w:num="1"/>
          <w:docGrid w:type="lines" w:linePitch="312" w:charSpace="0"/>
        </w:sect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青铜峡市文化体育广电局</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2018年部门预算—部门预算情况说明</w:t>
      </w:r>
    </w:p>
    <w:p>
      <w:pPr>
        <w:rPr>
          <w:rFonts w:ascii="仿宋" w:hAnsi="仿宋" w:eastAsia="仿宋"/>
          <w:sz w:val="32"/>
          <w:szCs w:val="32"/>
        </w:rPr>
      </w:pPr>
    </w:p>
    <w:p>
      <w:pPr>
        <w:ind w:firstLine="720" w:firstLineChars="225"/>
        <w:rPr>
          <w:rFonts w:ascii="黑体" w:hAnsi="黑体" w:eastAsia="黑体"/>
          <w:sz w:val="32"/>
          <w:szCs w:val="32"/>
        </w:rPr>
      </w:pPr>
      <w:r>
        <w:rPr>
          <w:rFonts w:hint="eastAsia" w:ascii="黑体" w:hAnsi="黑体" w:eastAsia="黑体"/>
          <w:sz w:val="32"/>
          <w:szCs w:val="32"/>
        </w:rPr>
        <w:t>一、关于青铜峡市文化体育广电局2018年财政拨款收支预算情况的总体说明</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青铜峡市文化体育广电局2018年财政拨款收入预算1487.26万元，其中：本年收入1487.26万元，包括一般公共预算拨款1487.26万元，政府性基金预算拨款0万元；上年结转结余723.07万元。支出预算1487.26万元，包括：按政府收支分类功能科目逐项说明。如，文化体育与传媒支出1357.86万元、社会保障和就业支出71.50万元、卫生健康支出30.68万元、住房保障支出27.22万元。</w:t>
      </w:r>
    </w:p>
    <w:p>
      <w:pPr>
        <w:ind w:firstLine="720" w:firstLineChars="225"/>
        <w:rPr>
          <w:rFonts w:ascii="黑体" w:hAnsi="黑体" w:eastAsia="黑体"/>
          <w:sz w:val="32"/>
          <w:szCs w:val="32"/>
        </w:rPr>
      </w:pPr>
      <w:r>
        <w:rPr>
          <w:rFonts w:hint="eastAsia" w:ascii="黑体" w:hAnsi="黑体" w:eastAsia="黑体"/>
          <w:sz w:val="32"/>
          <w:szCs w:val="32"/>
        </w:rPr>
        <w:t>二、关于青铜峡市文化体育广电局2018年一般公共预算拨款情况说明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青铜峡市文化体育广电局2018年一般公共预算拨款基本支出473.11万元，比2017年执行数据减少13.65万元，下降2.8%。其中：</w:t>
      </w:r>
    </w:p>
    <w:p>
      <w:pPr>
        <w:ind w:firstLine="720" w:firstLineChars="225"/>
        <w:rPr>
          <w:rFonts w:ascii="仿宋" w:hAnsi="仿宋" w:eastAsia="仿宋"/>
          <w:sz w:val="32"/>
          <w:szCs w:val="32"/>
        </w:rPr>
      </w:pPr>
      <w:r>
        <w:rPr>
          <w:rFonts w:hint="eastAsia" w:ascii="仿宋" w:hAnsi="仿宋" w:eastAsia="仿宋"/>
          <w:sz w:val="32"/>
          <w:szCs w:val="32"/>
        </w:rPr>
        <w:t>人员经费437.21万元，主要包括：基本工资、津贴补贴、奖金、社会保障缴费、伙食补助费、其他工资福利支出、离休费、退休费、抚恤金、生活补助、医疗费、助学金、奖励金、住房公积金、提租补贴、购房补贴、其他对个人和家庭的补助支出；</w:t>
      </w:r>
    </w:p>
    <w:p>
      <w:pPr>
        <w:ind w:firstLine="720" w:firstLineChars="225"/>
        <w:rPr>
          <w:rFonts w:ascii="仿宋" w:hAnsi="仿宋" w:eastAsia="仿宋"/>
          <w:sz w:val="32"/>
          <w:szCs w:val="32"/>
        </w:rPr>
      </w:pPr>
      <w:r>
        <w:rPr>
          <w:rFonts w:hint="eastAsia" w:ascii="仿宋" w:hAnsi="仿宋" w:eastAsia="仿宋"/>
          <w:sz w:val="32"/>
          <w:szCs w:val="32"/>
        </w:rPr>
        <w:t>公用经费35.90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青铜峡市文化体育广电局2018年一般公共预算拨款项目支出1014.15万元，其中：按政府收支科目类、款、项，用途分项说明。</w:t>
      </w:r>
    </w:p>
    <w:p>
      <w:pPr>
        <w:ind w:firstLine="720" w:firstLineChars="225"/>
        <w:rPr>
          <w:rFonts w:ascii="仿宋" w:hAnsi="仿宋" w:eastAsia="仿宋"/>
          <w:sz w:val="32"/>
          <w:szCs w:val="32"/>
        </w:rPr>
      </w:pPr>
      <w:r>
        <w:rPr>
          <w:rFonts w:hint="eastAsia" w:ascii="仿宋" w:hAnsi="仿宋" w:eastAsia="仿宋"/>
          <w:sz w:val="32"/>
          <w:szCs w:val="32"/>
        </w:rPr>
        <w:t>1、文化体育与传媒支出（类）文化（款）艺术表演团体（项）2018年预算180万元，比2017年执行数据减少251万元，减少58.24%。主要用于演艺公司人员补贴。</w:t>
      </w:r>
    </w:p>
    <w:p>
      <w:pPr>
        <w:ind w:firstLine="720" w:firstLineChars="225"/>
        <w:rPr>
          <w:rFonts w:ascii="仿宋" w:hAnsi="仿宋" w:eastAsia="仿宋"/>
          <w:sz w:val="32"/>
          <w:szCs w:val="32"/>
        </w:rPr>
      </w:pPr>
      <w:r>
        <w:rPr>
          <w:rFonts w:hint="eastAsia" w:ascii="仿宋" w:hAnsi="仿宋" w:eastAsia="仿宋"/>
          <w:sz w:val="32"/>
          <w:szCs w:val="32"/>
        </w:rPr>
        <w:t>2、文化体育与传媒支出（类）文化（款）文化活动（项）2018年预算20万元，比2017年执行数据增加20万元，增长100%。主要用于春节文化系列活动。</w:t>
      </w:r>
    </w:p>
    <w:p>
      <w:pPr>
        <w:ind w:firstLine="720" w:firstLineChars="225"/>
        <w:rPr>
          <w:rFonts w:ascii="仿宋" w:hAnsi="仿宋" w:eastAsia="仿宋"/>
          <w:sz w:val="32"/>
          <w:szCs w:val="32"/>
        </w:rPr>
      </w:pPr>
      <w:r>
        <w:rPr>
          <w:rFonts w:hint="eastAsia" w:ascii="仿宋" w:hAnsi="仿宋" w:eastAsia="仿宋"/>
          <w:sz w:val="32"/>
          <w:szCs w:val="32"/>
        </w:rPr>
        <w:t>3、文化体育与传媒支出（类）文化（款）其他文化支出（项）2018年预算455.55万元，比2017年执行数据减少120.45万元，下降20.91 %。主要用于公共文化服务体系建设。</w:t>
      </w:r>
    </w:p>
    <w:p>
      <w:pPr>
        <w:ind w:firstLine="720" w:firstLineChars="225"/>
        <w:rPr>
          <w:rFonts w:ascii="仿宋" w:hAnsi="仿宋" w:eastAsia="仿宋"/>
          <w:sz w:val="32"/>
          <w:szCs w:val="32"/>
        </w:rPr>
      </w:pPr>
      <w:r>
        <w:rPr>
          <w:rFonts w:hint="eastAsia" w:ascii="仿宋" w:hAnsi="仿宋" w:eastAsia="仿宋"/>
          <w:sz w:val="32"/>
          <w:szCs w:val="32"/>
        </w:rPr>
        <w:t>4、文化体育与传媒支出（类）体育（款）体育竞赛（项）2018年预算30万元，比2017年执行数据增加30万元，增长100%。主要用于第十五届运动会。</w:t>
      </w:r>
    </w:p>
    <w:p>
      <w:pPr>
        <w:ind w:firstLine="720" w:firstLineChars="225"/>
        <w:rPr>
          <w:rFonts w:ascii="仿宋" w:hAnsi="仿宋" w:eastAsia="仿宋"/>
          <w:sz w:val="32"/>
          <w:szCs w:val="32"/>
        </w:rPr>
      </w:pPr>
      <w:r>
        <w:rPr>
          <w:rFonts w:hint="eastAsia" w:ascii="仿宋" w:hAnsi="仿宋" w:eastAsia="仿宋"/>
          <w:sz w:val="32"/>
          <w:szCs w:val="32"/>
        </w:rPr>
        <w:t>5、文化体育与传媒支出（类）体育（款）群众体育（项）2018年预算87万元，比2017年执行数据增加4.89万元，增长5.95%。主要用于全民健身计划。</w:t>
      </w:r>
    </w:p>
    <w:p>
      <w:pPr>
        <w:ind w:firstLine="720" w:firstLineChars="225"/>
        <w:rPr>
          <w:rFonts w:ascii="仿宋" w:hAnsi="仿宋" w:eastAsia="仿宋"/>
          <w:sz w:val="32"/>
          <w:szCs w:val="32"/>
        </w:rPr>
      </w:pPr>
      <w:r>
        <w:rPr>
          <w:rFonts w:hint="eastAsia" w:ascii="仿宋" w:hAnsi="仿宋" w:eastAsia="仿宋"/>
          <w:sz w:val="32"/>
          <w:szCs w:val="32"/>
        </w:rPr>
        <w:t>6、文化体育与传媒支出（类）体育（款）其他体育支出（项）2018年预算96.6万元，比2017年执行数据增加78.01万元，增长419.63%。主要用于体育活动室维护及第七届宁夏(吴忠)黄河金岸国际马拉松赛。</w:t>
      </w:r>
    </w:p>
    <w:p>
      <w:pPr>
        <w:ind w:firstLine="720" w:firstLineChars="225"/>
        <w:rPr>
          <w:rFonts w:ascii="仿宋" w:hAnsi="仿宋" w:eastAsia="仿宋"/>
          <w:sz w:val="32"/>
          <w:szCs w:val="32"/>
        </w:rPr>
      </w:pPr>
      <w:r>
        <w:rPr>
          <w:rFonts w:hint="eastAsia" w:ascii="仿宋" w:hAnsi="仿宋" w:eastAsia="仿宋"/>
          <w:sz w:val="32"/>
          <w:szCs w:val="32"/>
        </w:rPr>
        <w:t>7、文化体育与传媒支出（类）新闻出版广播影视（款）电影（项）2018年预算35万元，比2017年执行数据减少36.59万元，减少51.11%。主要用于体育活动室维护及第七届宁夏(吴忠)黄河金岸国际马拉松赛。</w:t>
      </w:r>
    </w:p>
    <w:p>
      <w:pPr>
        <w:ind w:firstLine="720" w:firstLineChars="225"/>
        <w:rPr>
          <w:rFonts w:ascii="仿宋" w:hAnsi="仿宋" w:eastAsia="仿宋"/>
          <w:sz w:val="32"/>
          <w:szCs w:val="32"/>
        </w:rPr>
      </w:pPr>
      <w:r>
        <w:rPr>
          <w:rFonts w:hint="eastAsia" w:ascii="仿宋" w:hAnsi="仿宋" w:eastAsia="仿宋"/>
          <w:sz w:val="32"/>
          <w:szCs w:val="32"/>
        </w:rPr>
        <w:t>8、文化体育与传媒支出（类）新闻出版广播影视（款）其他文化体育与传媒支出（项）2018年预算110万元，比2017年执行数据增加103.8万元，增加1674.19%。主要用于“百村广电惠民”及户户通工程维护。</w:t>
      </w:r>
    </w:p>
    <w:p>
      <w:pPr>
        <w:ind w:firstLine="720" w:firstLineChars="225"/>
        <w:rPr>
          <w:rFonts w:ascii="黑体" w:hAnsi="黑体" w:eastAsia="黑体"/>
          <w:sz w:val="32"/>
          <w:szCs w:val="32"/>
        </w:rPr>
      </w:pPr>
      <w:r>
        <w:rPr>
          <w:rFonts w:hint="eastAsia" w:ascii="黑体" w:hAnsi="黑体" w:eastAsia="黑体"/>
          <w:sz w:val="32"/>
          <w:szCs w:val="32"/>
        </w:rPr>
        <w:t>三、关于青铜峡市文化体育广电局2018年“三公”经费预算情况说明</w:t>
      </w:r>
    </w:p>
    <w:p>
      <w:pPr>
        <w:ind w:firstLine="720" w:firstLineChars="225"/>
        <w:rPr>
          <w:rFonts w:ascii="仿宋" w:hAnsi="仿宋" w:eastAsia="仿宋"/>
          <w:sz w:val="32"/>
          <w:szCs w:val="32"/>
        </w:rPr>
      </w:pPr>
      <w:r>
        <w:rPr>
          <w:rFonts w:hint="eastAsia" w:ascii="仿宋" w:hAnsi="仿宋" w:eastAsia="仿宋"/>
          <w:sz w:val="32"/>
          <w:szCs w:val="32"/>
        </w:rPr>
        <w:t>青铜峡市文化体育广电局2018年“三公”经费财政拨款预算数为0.5万元，其中：因公出国（境）费0万元，公务用车购置0万元，公务用车运行费0万元，公务接待费0.5万元。</w:t>
      </w:r>
    </w:p>
    <w:p>
      <w:pPr>
        <w:ind w:firstLine="720" w:firstLineChars="225"/>
        <w:rPr>
          <w:rFonts w:ascii="仿宋" w:hAnsi="仿宋" w:eastAsia="仿宋"/>
          <w:sz w:val="32"/>
          <w:szCs w:val="32"/>
        </w:rPr>
      </w:pPr>
      <w:r>
        <w:rPr>
          <w:rFonts w:hint="eastAsia" w:ascii="仿宋" w:hAnsi="仿宋" w:eastAsia="仿宋"/>
          <w:sz w:val="32"/>
          <w:szCs w:val="32"/>
        </w:rPr>
        <w:t>2018年“三公”经费财政拨款预算比2017年减少17.3万元，其中：因公出国（境）费增加(减少)0万元，主要原因(无)；公务用车购置费增加（减少）0万元，主要原因(无)；公务用车运行费增加(减少)0万元，主要原因(无)；公务接待费减少5.49万元，主要原因：严格执行中央八项规定，厉行节约。</w:t>
      </w:r>
    </w:p>
    <w:p>
      <w:pPr>
        <w:ind w:firstLine="720" w:firstLineChars="225"/>
        <w:rPr>
          <w:rFonts w:ascii="黑体" w:hAnsi="黑体" w:eastAsia="黑体"/>
          <w:sz w:val="32"/>
          <w:szCs w:val="32"/>
        </w:rPr>
      </w:pPr>
      <w:r>
        <w:rPr>
          <w:rFonts w:hint="eastAsia" w:ascii="黑体" w:hAnsi="黑体" w:eastAsia="黑体"/>
          <w:sz w:val="32"/>
          <w:szCs w:val="32"/>
        </w:rPr>
        <w:t>四、关于青铜峡市文化体育广电局2018年政府性基金预算拨款情况说明</w:t>
      </w:r>
    </w:p>
    <w:p>
      <w:pPr>
        <w:ind w:firstLine="723" w:firstLineChars="225"/>
        <w:rPr>
          <w:rFonts w:ascii="楷体" w:hAnsi="楷体" w:eastAsia="楷体"/>
          <w:b/>
          <w:sz w:val="32"/>
          <w:szCs w:val="32"/>
        </w:rPr>
      </w:pPr>
      <w:r>
        <w:rPr>
          <w:rFonts w:hint="eastAsia" w:ascii="楷体" w:hAnsi="楷体" w:eastAsia="楷体"/>
          <w:b/>
          <w:sz w:val="32"/>
          <w:szCs w:val="32"/>
        </w:rPr>
        <w:t>（一）基本支出情况说明。</w:t>
      </w:r>
    </w:p>
    <w:p>
      <w:pPr>
        <w:ind w:firstLine="720" w:firstLineChars="225"/>
        <w:rPr>
          <w:rFonts w:ascii="仿宋" w:hAnsi="仿宋" w:eastAsia="仿宋"/>
          <w:sz w:val="32"/>
          <w:szCs w:val="32"/>
        </w:rPr>
      </w:pPr>
      <w:r>
        <w:rPr>
          <w:rFonts w:hint="eastAsia" w:ascii="仿宋" w:hAnsi="仿宋" w:eastAsia="仿宋"/>
          <w:sz w:val="32"/>
          <w:szCs w:val="32"/>
        </w:rPr>
        <w:t>青铜峡市文化体育广电局2018年政府性基金预算拨款基本支出0万元,比2017年执行数据减少118.03万元，下降100%，其中：</w:t>
      </w:r>
    </w:p>
    <w:p>
      <w:pPr>
        <w:ind w:firstLine="720" w:firstLineChars="225"/>
        <w:rPr>
          <w:rFonts w:ascii="仿宋" w:hAnsi="仿宋" w:eastAsia="仿宋"/>
          <w:sz w:val="32"/>
          <w:szCs w:val="32"/>
        </w:rPr>
      </w:pPr>
      <w:r>
        <w:rPr>
          <w:rFonts w:hint="eastAsia" w:ascii="仿宋" w:hAnsi="仿宋" w:eastAsia="仿宋"/>
          <w:sz w:val="32"/>
          <w:szCs w:val="32"/>
        </w:rPr>
        <w:t>人员经费0万元，主要包括：基本工资、津贴补贴、奖金、社会保障缴费、伙食补助费、其他工资福利支出、离休费、退休费、抚恤金、生活补助、医疗费、助学金、奖励金、住房公积金、提租补贴、购房补贴、其他对个人和家庭的补助支出；</w:t>
      </w:r>
    </w:p>
    <w:p>
      <w:pPr>
        <w:ind w:firstLine="720" w:firstLineChars="225"/>
        <w:rPr>
          <w:rFonts w:ascii="仿宋" w:hAnsi="仿宋" w:eastAsia="仿宋"/>
          <w:sz w:val="32"/>
          <w:szCs w:val="32"/>
        </w:rPr>
      </w:pPr>
      <w:r>
        <w:rPr>
          <w:rFonts w:hint="eastAsia" w:ascii="仿宋" w:hAnsi="仿宋" w:eastAsia="仿宋"/>
          <w:sz w:val="32"/>
          <w:szCs w:val="32"/>
        </w:rPr>
        <w:t>公用经费0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办公设备购置、专用设备购置。</w:t>
      </w:r>
    </w:p>
    <w:p>
      <w:pPr>
        <w:ind w:firstLine="723" w:firstLineChars="225"/>
        <w:rPr>
          <w:rFonts w:ascii="楷体" w:hAnsi="楷体" w:eastAsia="楷体"/>
          <w:b/>
          <w:sz w:val="32"/>
          <w:szCs w:val="32"/>
        </w:rPr>
      </w:pPr>
      <w:r>
        <w:rPr>
          <w:rFonts w:hint="eastAsia" w:ascii="楷体" w:hAnsi="楷体" w:eastAsia="楷体"/>
          <w:b/>
          <w:sz w:val="32"/>
          <w:szCs w:val="32"/>
        </w:rPr>
        <w:t>（二）项目支出情况说明。</w:t>
      </w:r>
    </w:p>
    <w:p>
      <w:pPr>
        <w:ind w:firstLine="720" w:firstLineChars="225"/>
        <w:rPr>
          <w:rFonts w:ascii="仿宋" w:hAnsi="仿宋" w:eastAsia="仿宋"/>
          <w:sz w:val="32"/>
          <w:szCs w:val="32"/>
        </w:rPr>
      </w:pPr>
      <w:r>
        <w:rPr>
          <w:rFonts w:hint="eastAsia" w:ascii="仿宋" w:hAnsi="仿宋" w:eastAsia="仿宋"/>
          <w:sz w:val="32"/>
          <w:szCs w:val="32"/>
        </w:rPr>
        <w:t>青铜峡市文化体育广电局2018年政府性基金预算拨款项目支出0万元，其中：按政府收支科目类、款、项，用途分项说明。(无)</w:t>
      </w:r>
    </w:p>
    <w:p>
      <w:pPr>
        <w:ind w:firstLine="720" w:firstLineChars="225"/>
        <w:rPr>
          <w:rFonts w:ascii="黑体" w:hAnsi="黑体" w:eastAsia="黑体"/>
          <w:sz w:val="32"/>
          <w:szCs w:val="32"/>
        </w:rPr>
      </w:pPr>
      <w:r>
        <w:rPr>
          <w:rFonts w:hint="eastAsia" w:ascii="黑体" w:hAnsi="黑体" w:eastAsia="黑体"/>
          <w:sz w:val="32"/>
          <w:szCs w:val="32"/>
        </w:rPr>
        <w:t>五、关于青铜峡市文化体育广电局2018年收支预算情况的总体说明</w:t>
      </w:r>
    </w:p>
    <w:p>
      <w:pPr>
        <w:ind w:firstLine="720" w:firstLineChars="225"/>
        <w:rPr>
          <w:rFonts w:ascii="仿宋" w:hAnsi="仿宋" w:eastAsia="仿宋"/>
          <w:sz w:val="32"/>
          <w:szCs w:val="32"/>
        </w:rPr>
      </w:pPr>
      <w:r>
        <w:rPr>
          <w:rFonts w:hint="eastAsia" w:ascii="仿宋" w:hAnsi="仿宋" w:eastAsia="仿宋"/>
          <w:sz w:val="32"/>
          <w:szCs w:val="32"/>
        </w:rPr>
        <w:t>按照全口径预算的原则，青铜峡市文化体育广电局2018年所有收入和支出均纳入部门预算管理。收入总预算2314万元，支出总预算2314万元。</w:t>
      </w:r>
    </w:p>
    <w:p>
      <w:pPr>
        <w:ind w:firstLine="720" w:firstLineChars="225"/>
        <w:rPr>
          <w:rFonts w:ascii="仿宋" w:hAnsi="仿宋" w:eastAsia="仿宋"/>
          <w:sz w:val="32"/>
          <w:szCs w:val="32"/>
        </w:rPr>
      </w:pPr>
      <w:r>
        <w:rPr>
          <w:rFonts w:hint="eastAsia" w:ascii="仿宋" w:hAnsi="仿宋" w:eastAsia="仿宋"/>
          <w:sz w:val="32"/>
          <w:szCs w:val="32"/>
        </w:rPr>
        <w:t>收入预算包括：上年结转</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%；财政拨款收入1487.26万元，占</w:t>
      </w:r>
      <w:r>
        <w:rPr>
          <w:rFonts w:hint="eastAsia" w:ascii="仿宋" w:hAnsi="仿宋" w:eastAsia="仿宋"/>
          <w:sz w:val="32"/>
          <w:szCs w:val="32"/>
          <w:lang w:val="en-US" w:eastAsia="zh-CN"/>
        </w:rPr>
        <w:t>100</w:t>
      </w:r>
      <w:r>
        <w:rPr>
          <w:rFonts w:hint="eastAsia" w:ascii="仿宋" w:hAnsi="仿宋" w:eastAsia="仿宋"/>
          <w:sz w:val="32"/>
          <w:szCs w:val="32"/>
        </w:rPr>
        <w:t xml:space="preserve"> %；事业收入0万元，占0%；事业单位经营收入0万元，占0 %；其他收入0万元，占0%。</w:t>
      </w:r>
    </w:p>
    <w:p>
      <w:pPr>
        <w:ind w:firstLine="720" w:firstLineChars="225"/>
        <w:rPr>
          <w:rFonts w:ascii="仿宋" w:hAnsi="仿宋" w:eastAsia="仿宋"/>
          <w:sz w:val="32"/>
          <w:szCs w:val="32"/>
        </w:rPr>
      </w:pPr>
      <w:r>
        <w:rPr>
          <w:rFonts w:hint="eastAsia" w:ascii="仿宋" w:hAnsi="仿宋" w:eastAsia="仿宋"/>
          <w:sz w:val="32"/>
          <w:szCs w:val="32"/>
        </w:rPr>
        <w:t>支出预算包括：基本支出473.11万元，占</w:t>
      </w:r>
      <w:r>
        <w:rPr>
          <w:rFonts w:hint="eastAsia" w:ascii="仿宋" w:hAnsi="仿宋" w:eastAsia="仿宋"/>
          <w:sz w:val="32"/>
          <w:szCs w:val="32"/>
          <w:lang w:val="en-US" w:eastAsia="zh-CN"/>
        </w:rPr>
        <w:t>31.81</w:t>
      </w:r>
      <w:r>
        <w:rPr>
          <w:rFonts w:hint="eastAsia" w:ascii="仿宋" w:hAnsi="仿宋" w:eastAsia="仿宋"/>
          <w:sz w:val="32"/>
          <w:szCs w:val="32"/>
        </w:rPr>
        <w:t>%；项目支出1014.15万元，占</w:t>
      </w:r>
      <w:r>
        <w:rPr>
          <w:rFonts w:hint="eastAsia" w:ascii="仿宋" w:hAnsi="仿宋" w:eastAsia="仿宋"/>
          <w:sz w:val="32"/>
          <w:szCs w:val="32"/>
          <w:lang w:val="en-US" w:eastAsia="zh-CN"/>
        </w:rPr>
        <w:t>68.19</w:t>
      </w:r>
      <w:bookmarkStart w:id="0" w:name="_GoBack"/>
      <w:bookmarkEnd w:id="0"/>
      <w:r>
        <w:rPr>
          <w:rFonts w:hint="eastAsia" w:ascii="仿宋" w:hAnsi="仿宋" w:eastAsia="仿宋"/>
          <w:sz w:val="32"/>
          <w:szCs w:val="32"/>
        </w:rPr>
        <w:t>%。事业单位经营支出0万元，占0%；上缴上级支出0万元，占0%；对附属单位补助支出0万元，占0%。</w:t>
      </w:r>
    </w:p>
    <w:p>
      <w:pPr>
        <w:ind w:firstLine="720" w:firstLineChars="225"/>
        <w:rPr>
          <w:rFonts w:ascii="黑体" w:hAnsi="黑体" w:eastAsia="黑体"/>
          <w:sz w:val="32"/>
          <w:szCs w:val="32"/>
        </w:rPr>
      </w:pPr>
      <w:r>
        <w:rPr>
          <w:rFonts w:hint="eastAsia" w:ascii="黑体" w:hAnsi="黑体" w:eastAsia="黑体"/>
          <w:sz w:val="32"/>
          <w:szCs w:val="32"/>
        </w:rPr>
        <w:t>六、其他重要事项的情况说明</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（一）机关运行经费</w:t>
      </w:r>
    </w:p>
    <w:p>
      <w:pPr>
        <w:widowControl/>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2018年，青铜峡市文化体育广电局本级及所属1个行政单位和0个参公管理事业单位的机关运行经费财政拨款预算1487.26万元，比2017年预算增加636.22万元，增长74.76%。</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（二）政府采购情况</w:t>
      </w:r>
    </w:p>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2018年，青铜峡市文化体育广电局政府采购预算50万元，其中：政府采购货物预算50万元，政府采购工程预算0万元，政府采购服务预算0万元。</w:t>
      </w:r>
    </w:p>
    <w:p>
      <w:pPr>
        <w:widowControl/>
        <w:spacing w:line="560" w:lineRule="exact"/>
        <w:ind w:firstLine="480"/>
        <w:jc w:val="left"/>
        <w:rPr>
          <w:rFonts w:ascii="楷体" w:hAnsi="楷体" w:eastAsia="楷体" w:cs="宋体"/>
          <w:b/>
          <w:kern w:val="0"/>
          <w:sz w:val="32"/>
          <w:szCs w:val="32"/>
        </w:rPr>
      </w:pPr>
      <w:r>
        <w:rPr>
          <w:rFonts w:hint="eastAsia" w:ascii="楷体" w:hAnsi="楷体" w:eastAsia="楷体" w:cs="宋体"/>
          <w:b/>
          <w:kern w:val="0"/>
          <w:sz w:val="32"/>
          <w:szCs w:val="32"/>
        </w:rPr>
        <w:t>（三）国有资产占用使用情况</w:t>
      </w:r>
    </w:p>
    <w:p>
      <w:pPr>
        <w:widowControl/>
        <w:spacing w:line="560" w:lineRule="exact"/>
        <w:ind w:firstLine="640" w:firstLineChars="2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截至2017年12月31日，青铜峡市文化体育广电局占用使用国有资产总体情况为房屋12464.48平方米，价值1020.03万元；土地4826.10平方米，价值**万元；车辆6辆，价值107.71万元；办公家具价值2850.87万元；其他资产价值2850.87万元。国有资产分布情况为：</w:t>
      </w:r>
    </w:p>
    <w:p>
      <w:pPr>
        <w:widowControl/>
        <w:spacing w:line="560" w:lineRule="exact"/>
        <w:ind w:firstLine="640" w:firstLineChars="2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本级部门房屋3643.9平方米，价值311.43万元；土地3190.3平方米，价值**万元；车辆0辆，价值0万元；办公家具价值152.14万元；其他资产价值385.55万元。</w:t>
      </w:r>
    </w:p>
    <w:p>
      <w:pPr>
        <w:widowControl/>
        <w:spacing w:line="560" w:lineRule="exact"/>
        <w:ind w:firstLine="640" w:firstLineChars="200"/>
        <w:rPr>
          <w:rFonts w:ascii="仿宋" w:hAnsi="仿宋" w:eastAsia="仿宋" w:cs="宋体"/>
          <w:color w:val="000000" w:themeColor="text1"/>
          <w:kern w:val="0"/>
          <w:sz w:val="32"/>
          <w:szCs w:val="32"/>
        </w:rPr>
      </w:pPr>
      <w:r>
        <w:rPr>
          <w:rFonts w:hint="eastAsia" w:ascii="仿宋" w:hAnsi="仿宋" w:eastAsia="仿宋" w:cs="宋体"/>
          <w:color w:val="000000" w:themeColor="text1"/>
          <w:kern w:val="0"/>
          <w:sz w:val="32"/>
          <w:szCs w:val="32"/>
        </w:rPr>
        <w:t>所属单位房屋8820.58平方米，价值708.6万元；土地1635.8平方米，价值**万元；车辆6辆，价值107.71万元；办公家具价值35.93万元；其他资产价值2465.32万元。</w:t>
      </w:r>
    </w:p>
    <w:p>
      <w:pPr>
        <w:widowControl/>
        <w:spacing w:line="560" w:lineRule="exact"/>
        <w:ind w:firstLine="643" w:firstLineChars="200"/>
        <w:rPr>
          <w:rFonts w:ascii="楷体" w:hAnsi="楷体" w:eastAsia="楷体" w:cs="宋体"/>
          <w:b/>
          <w:kern w:val="0"/>
          <w:sz w:val="32"/>
          <w:szCs w:val="32"/>
        </w:rPr>
      </w:pPr>
      <w:r>
        <w:rPr>
          <w:rFonts w:hint="eastAsia" w:ascii="楷体" w:hAnsi="楷体" w:eastAsia="楷体" w:cs="宋体"/>
          <w:b/>
          <w:kern w:val="0"/>
          <w:sz w:val="32"/>
          <w:szCs w:val="32"/>
        </w:rPr>
        <w:t>（四）预算绩效情况</w:t>
      </w:r>
    </w:p>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2018年青铜峡市文化体育广电局重点项目绩效评价：2018年，完成创建国家级公共文化服务体系示范区和自治区第三批公共体育服务体系示范市创建工作任务；组织开展元旦、春节系列文化活动，完成广场文化、送戏下乡等各类惠民文化演出300场，农村电影放映1600场；精心打造自治区成立60周年献礼剧目现代眉户剧《遇见青铜峡》，推荐参加自治区及全国重要文艺体育赛事活动，冲刺国家级奖项。高标准承办第七届黄河金岸马拉松赛事，积极组队参加自治区第十五届全运会，力争取得优异成绩。</w:t>
      </w:r>
    </w:p>
    <w:p>
      <w:pPr>
        <w:widowControl/>
        <w:spacing w:line="560" w:lineRule="exact"/>
        <w:ind w:firstLine="643" w:firstLineChars="200"/>
        <w:rPr>
          <w:rFonts w:ascii="楷体" w:hAnsi="楷体" w:eastAsia="楷体" w:cs="宋体"/>
          <w:b/>
          <w:kern w:val="0"/>
          <w:sz w:val="32"/>
          <w:szCs w:val="32"/>
        </w:rPr>
      </w:pPr>
      <w:r>
        <w:rPr>
          <w:rFonts w:hint="eastAsia" w:ascii="楷体" w:hAnsi="楷体" w:eastAsia="楷体" w:cs="宋体"/>
          <w:b/>
          <w:kern w:val="0"/>
          <w:sz w:val="32"/>
          <w:szCs w:val="32"/>
        </w:rPr>
        <w:t>(五)专项转移支付项目申报情况</w:t>
      </w:r>
    </w:p>
    <w:p>
      <w:pPr>
        <w:widowControl/>
        <w:spacing w:line="56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2018年青铜峡市文化体育广电局专项转移支付预算安排专项资金455.55万元。其中：2018年中央补助地方公共文化服务体系建设383.55万元，2018年公共图书馆、文化馆(站)免费开放72万元。</w:t>
      </w:r>
    </w:p>
    <w:p>
      <w:pPr>
        <w:widowControl/>
        <w:spacing w:line="560" w:lineRule="exact"/>
        <w:ind w:firstLine="480"/>
        <w:jc w:val="left"/>
        <w:rPr>
          <w:rFonts w:ascii="仿宋" w:hAnsi="仿宋" w:eastAsia="仿宋" w:cs="宋体"/>
          <w:kern w:val="0"/>
          <w:sz w:val="32"/>
          <w:szCs w:val="32"/>
        </w:rPr>
      </w:pPr>
      <w:r>
        <w:rPr>
          <w:rFonts w:hint="eastAsia" w:ascii="楷体" w:hAnsi="楷体" w:eastAsia="楷体" w:cs="宋体"/>
          <w:b/>
          <w:kern w:val="0"/>
          <w:sz w:val="32"/>
          <w:szCs w:val="32"/>
        </w:rPr>
        <w:t>（六）其他需说明的事项</w:t>
      </w:r>
      <w:r>
        <w:rPr>
          <w:rFonts w:hint="eastAsia" w:ascii="仿宋" w:hAnsi="仿宋" w:eastAsia="仿宋" w:cs="宋体"/>
          <w:kern w:val="0"/>
          <w:sz w:val="32"/>
          <w:szCs w:val="32"/>
        </w:rPr>
        <w:t>(无)</w:t>
      </w:r>
    </w:p>
    <w:p>
      <w:pPr>
        <w:widowControl/>
        <w:spacing w:line="560" w:lineRule="exact"/>
        <w:ind w:firstLine="480"/>
        <w:jc w:val="left"/>
        <w:rPr>
          <w:rFonts w:ascii="仿宋" w:hAnsi="仿宋" w:eastAsia="仿宋" w:cs="宋体"/>
          <w:kern w:val="0"/>
          <w:sz w:val="32"/>
          <w:szCs w:val="32"/>
        </w:rPr>
      </w:pPr>
    </w:p>
    <w:p>
      <w:pPr>
        <w:widowControl/>
        <w:spacing w:line="8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青铜峡市文化体育广电局</w:t>
      </w:r>
    </w:p>
    <w:p>
      <w:pPr>
        <w:widowControl/>
        <w:spacing w:line="8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2018年部门预算</w:t>
      </w:r>
      <w:r>
        <w:rPr>
          <w:rFonts w:ascii="方正小标宋简体" w:hAnsi="仿宋" w:eastAsia="方正小标宋简体"/>
          <w:sz w:val="44"/>
          <w:szCs w:val="44"/>
        </w:rPr>
        <w:t>—</w:t>
      </w:r>
      <w:r>
        <w:rPr>
          <w:rFonts w:hint="eastAsia" w:ascii="方正小标宋简体" w:hAnsi="仿宋" w:eastAsia="方正小标宋简体"/>
          <w:sz w:val="44"/>
          <w:szCs w:val="44"/>
        </w:rPr>
        <w:t>名词解释</w:t>
      </w:r>
    </w:p>
    <w:p>
      <w:pPr>
        <w:spacing w:line="600" w:lineRule="exact"/>
        <w:ind w:firstLine="640" w:firstLineChars="200"/>
        <w:rPr>
          <w:rFonts w:ascii="仿宋" w:hAnsi="仿宋" w:eastAsia="仿宋" w:cs="宋体"/>
          <w:kern w:val="0"/>
          <w:sz w:val="32"/>
          <w:szCs w:val="32"/>
        </w:rPr>
      </w:pPr>
    </w:p>
    <w:p>
      <w:pPr>
        <w:spacing w:line="600"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基本支出：指为保障机构正常运转、完成日常工作任务而发生的人员支出和公用支出。包括</w:t>
      </w:r>
      <w:r>
        <w:rPr>
          <w:rFonts w:ascii="仿宋" w:hAnsi="仿宋" w:eastAsia="仿宋" w:cs="宋体"/>
          <w:kern w:val="0"/>
          <w:sz w:val="32"/>
          <w:szCs w:val="32"/>
        </w:rPr>
        <w:t>:</w:t>
      </w:r>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工资福利支出包括在职职工基本工资、津贴补贴、奖金、伙食补助费、绩效工资、机关事业单位基本养老保险缴费、职业年金缴费、职工基本医疗保险缴费、公务员医疗补助缴费、其他社会保险缴费、住房公积金、医疗费和其他工资福利支出。</w:t>
      </w:r>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、商品和服务包括办公费、印刷费、水电费、邮电费、办公用房取暖费及维修费、公务用车运行维护费、差旅费、会议费、招待费、培训费、其他商品服务支出等。</w:t>
      </w:r>
    </w:p>
    <w:p>
      <w:pPr>
        <w:spacing w:line="600" w:lineRule="exact"/>
        <w:ind w:firstLine="640" w:firstLineChars="200"/>
        <w:rPr>
          <w:rFonts w:ascii="仿宋" w:hAnsi="仿宋" w:eastAsia="仿宋" w:cs="宋体"/>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、对个人和家庭的补助包括离退休人员工资、遗属生活补助、医疗费补助、助学金、奖励金及其他对个人和家庭的补助。</w:t>
      </w:r>
    </w:p>
    <w:p>
      <w:pPr>
        <w:pStyle w:val="4"/>
        <w:spacing w:before="0" w:after="225" w:line="600" w:lineRule="exact"/>
        <w:ind w:left="44" w:leftChars="21" w:right="45" w:firstLine="579" w:firstLineChars="181"/>
        <w:jc w:val="both"/>
        <w:rPr>
          <w:rFonts w:ascii="仿宋" w:hAnsi="仿宋" w:eastAsia="仿宋"/>
          <w:sz w:val="32"/>
          <w:szCs w:val="32"/>
        </w:rPr>
      </w:pPr>
      <w:r>
        <w:rPr>
          <w:rFonts w:hint="eastAsia" w:ascii="仿宋" w:hAnsi="仿宋" w:eastAsia="仿宋"/>
          <w:sz w:val="32"/>
          <w:szCs w:val="32"/>
        </w:rPr>
        <w:t>项目支出：指在基本支出之外为完成特定行政任务和事业发展目标所发生的支出。</w:t>
      </w:r>
    </w:p>
    <w:sectPr>
      <w:pgSz w:w="11906" w:h="16838"/>
      <w:pgMar w:top="1418" w:right="1418"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0529"/>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427"/>
    <w:rsid w:val="00003128"/>
    <w:rsid w:val="00014D42"/>
    <w:rsid w:val="00015436"/>
    <w:rsid w:val="00015980"/>
    <w:rsid w:val="000402AE"/>
    <w:rsid w:val="000527E0"/>
    <w:rsid w:val="000603E5"/>
    <w:rsid w:val="00063B63"/>
    <w:rsid w:val="00065793"/>
    <w:rsid w:val="00067340"/>
    <w:rsid w:val="00067B37"/>
    <w:rsid w:val="00073A50"/>
    <w:rsid w:val="0007499F"/>
    <w:rsid w:val="00075D9A"/>
    <w:rsid w:val="0008567F"/>
    <w:rsid w:val="00086D73"/>
    <w:rsid w:val="00091332"/>
    <w:rsid w:val="00093E6F"/>
    <w:rsid w:val="000A1FA6"/>
    <w:rsid w:val="000C1E8C"/>
    <w:rsid w:val="000C285C"/>
    <w:rsid w:val="000D1A52"/>
    <w:rsid w:val="000D4DB6"/>
    <w:rsid w:val="000E1142"/>
    <w:rsid w:val="000E7496"/>
    <w:rsid w:val="000E7C12"/>
    <w:rsid w:val="001004D1"/>
    <w:rsid w:val="001007AA"/>
    <w:rsid w:val="0010483E"/>
    <w:rsid w:val="0011393B"/>
    <w:rsid w:val="00125E2A"/>
    <w:rsid w:val="00152941"/>
    <w:rsid w:val="00160478"/>
    <w:rsid w:val="001615FD"/>
    <w:rsid w:val="00164CCB"/>
    <w:rsid w:val="00172100"/>
    <w:rsid w:val="001A2819"/>
    <w:rsid w:val="001A2BBF"/>
    <w:rsid w:val="001A5835"/>
    <w:rsid w:val="001B684D"/>
    <w:rsid w:val="001C1FA0"/>
    <w:rsid w:val="001C386F"/>
    <w:rsid w:val="001D1B6A"/>
    <w:rsid w:val="001E282A"/>
    <w:rsid w:val="001F208A"/>
    <w:rsid w:val="001F5B99"/>
    <w:rsid w:val="00226885"/>
    <w:rsid w:val="002302B8"/>
    <w:rsid w:val="00237B98"/>
    <w:rsid w:val="00240AE3"/>
    <w:rsid w:val="00241A8D"/>
    <w:rsid w:val="00245036"/>
    <w:rsid w:val="002522E3"/>
    <w:rsid w:val="00260FA2"/>
    <w:rsid w:val="00272D4E"/>
    <w:rsid w:val="00280B5F"/>
    <w:rsid w:val="00281862"/>
    <w:rsid w:val="0028277F"/>
    <w:rsid w:val="002829A3"/>
    <w:rsid w:val="002868FB"/>
    <w:rsid w:val="00287C8E"/>
    <w:rsid w:val="002B7883"/>
    <w:rsid w:val="002D5921"/>
    <w:rsid w:val="002E0365"/>
    <w:rsid w:val="002F0B1C"/>
    <w:rsid w:val="00311017"/>
    <w:rsid w:val="003259EE"/>
    <w:rsid w:val="003329EA"/>
    <w:rsid w:val="00337EFE"/>
    <w:rsid w:val="00342584"/>
    <w:rsid w:val="003435AC"/>
    <w:rsid w:val="00350EE9"/>
    <w:rsid w:val="00352900"/>
    <w:rsid w:val="00357259"/>
    <w:rsid w:val="00363231"/>
    <w:rsid w:val="003720AB"/>
    <w:rsid w:val="0037413C"/>
    <w:rsid w:val="00375CDF"/>
    <w:rsid w:val="0038413E"/>
    <w:rsid w:val="003843F7"/>
    <w:rsid w:val="00391CF7"/>
    <w:rsid w:val="0039281D"/>
    <w:rsid w:val="0039302A"/>
    <w:rsid w:val="00393E63"/>
    <w:rsid w:val="00395BB5"/>
    <w:rsid w:val="003A694B"/>
    <w:rsid w:val="003A6E96"/>
    <w:rsid w:val="003C6AA4"/>
    <w:rsid w:val="003D6C60"/>
    <w:rsid w:val="0040752C"/>
    <w:rsid w:val="0041118C"/>
    <w:rsid w:val="00411CC3"/>
    <w:rsid w:val="00416488"/>
    <w:rsid w:val="004206C3"/>
    <w:rsid w:val="00421A9D"/>
    <w:rsid w:val="004235EB"/>
    <w:rsid w:val="00430BD0"/>
    <w:rsid w:val="004344C2"/>
    <w:rsid w:val="00434A89"/>
    <w:rsid w:val="00441EC7"/>
    <w:rsid w:val="00442EA0"/>
    <w:rsid w:val="004449E7"/>
    <w:rsid w:val="00447FB7"/>
    <w:rsid w:val="00451E11"/>
    <w:rsid w:val="0046197D"/>
    <w:rsid w:val="004730DE"/>
    <w:rsid w:val="004746F6"/>
    <w:rsid w:val="00476FF3"/>
    <w:rsid w:val="004828B1"/>
    <w:rsid w:val="0049065C"/>
    <w:rsid w:val="004912FE"/>
    <w:rsid w:val="00494916"/>
    <w:rsid w:val="00495071"/>
    <w:rsid w:val="004958E6"/>
    <w:rsid w:val="004A76A7"/>
    <w:rsid w:val="004B7286"/>
    <w:rsid w:val="004C12EF"/>
    <w:rsid w:val="004D591B"/>
    <w:rsid w:val="004E4AFF"/>
    <w:rsid w:val="004F1384"/>
    <w:rsid w:val="004F1774"/>
    <w:rsid w:val="004F4D92"/>
    <w:rsid w:val="00504966"/>
    <w:rsid w:val="005104F5"/>
    <w:rsid w:val="00511F0B"/>
    <w:rsid w:val="00513D6B"/>
    <w:rsid w:val="00515575"/>
    <w:rsid w:val="00516EBA"/>
    <w:rsid w:val="005209E1"/>
    <w:rsid w:val="00520BE8"/>
    <w:rsid w:val="00544D1D"/>
    <w:rsid w:val="005522EC"/>
    <w:rsid w:val="00561D1B"/>
    <w:rsid w:val="00563AD0"/>
    <w:rsid w:val="0056517D"/>
    <w:rsid w:val="00570E19"/>
    <w:rsid w:val="0057789E"/>
    <w:rsid w:val="00587040"/>
    <w:rsid w:val="00591F62"/>
    <w:rsid w:val="00594775"/>
    <w:rsid w:val="005A56B2"/>
    <w:rsid w:val="005A7E1B"/>
    <w:rsid w:val="005B1CC8"/>
    <w:rsid w:val="005B3AE7"/>
    <w:rsid w:val="005C24A9"/>
    <w:rsid w:val="005D30B8"/>
    <w:rsid w:val="005D5FAF"/>
    <w:rsid w:val="005D6F9C"/>
    <w:rsid w:val="005E0878"/>
    <w:rsid w:val="005E5CE3"/>
    <w:rsid w:val="005F08A9"/>
    <w:rsid w:val="005F6261"/>
    <w:rsid w:val="00604BD2"/>
    <w:rsid w:val="00604C76"/>
    <w:rsid w:val="00604DB1"/>
    <w:rsid w:val="00610E13"/>
    <w:rsid w:val="006110DA"/>
    <w:rsid w:val="00614616"/>
    <w:rsid w:val="00616978"/>
    <w:rsid w:val="0062124E"/>
    <w:rsid w:val="00621F34"/>
    <w:rsid w:val="00622B5A"/>
    <w:rsid w:val="0063004E"/>
    <w:rsid w:val="0063030D"/>
    <w:rsid w:val="0063097E"/>
    <w:rsid w:val="00633752"/>
    <w:rsid w:val="00633758"/>
    <w:rsid w:val="00640225"/>
    <w:rsid w:val="00644588"/>
    <w:rsid w:val="00665C08"/>
    <w:rsid w:val="006947D3"/>
    <w:rsid w:val="00697A26"/>
    <w:rsid w:val="006A3CDD"/>
    <w:rsid w:val="006B2D5F"/>
    <w:rsid w:val="006B3E21"/>
    <w:rsid w:val="006B67A2"/>
    <w:rsid w:val="006B7B28"/>
    <w:rsid w:val="006C0798"/>
    <w:rsid w:val="006C09A0"/>
    <w:rsid w:val="006C4FE6"/>
    <w:rsid w:val="006D3C02"/>
    <w:rsid w:val="006F558D"/>
    <w:rsid w:val="00703776"/>
    <w:rsid w:val="00706586"/>
    <w:rsid w:val="00712168"/>
    <w:rsid w:val="007231EB"/>
    <w:rsid w:val="00727AEF"/>
    <w:rsid w:val="00727D72"/>
    <w:rsid w:val="00730A93"/>
    <w:rsid w:val="007368A0"/>
    <w:rsid w:val="007476F5"/>
    <w:rsid w:val="00750260"/>
    <w:rsid w:val="00756F6A"/>
    <w:rsid w:val="0075754F"/>
    <w:rsid w:val="00760419"/>
    <w:rsid w:val="0076698B"/>
    <w:rsid w:val="007750B9"/>
    <w:rsid w:val="007767A3"/>
    <w:rsid w:val="00785427"/>
    <w:rsid w:val="007900D2"/>
    <w:rsid w:val="00795062"/>
    <w:rsid w:val="007B1E60"/>
    <w:rsid w:val="007B45CF"/>
    <w:rsid w:val="007D07B1"/>
    <w:rsid w:val="007D21CF"/>
    <w:rsid w:val="007D2235"/>
    <w:rsid w:val="007D7256"/>
    <w:rsid w:val="007E129A"/>
    <w:rsid w:val="007E6994"/>
    <w:rsid w:val="007F45D3"/>
    <w:rsid w:val="00802E51"/>
    <w:rsid w:val="008030C4"/>
    <w:rsid w:val="00804CE4"/>
    <w:rsid w:val="00817EEB"/>
    <w:rsid w:val="00820738"/>
    <w:rsid w:val="0082300D"/>
    <w:rsid w:val="00835CCC"/>
    <w:rsid w:val="0083623D"/>
    <w:rsid w:val="00836759"/>
    <w:rsid w:val="0084022C"/>
    <w:rsid w:val="0085088A"/>
    <w:rsid w:val="00851ABE"/>
    <w:rsid w:val="00854103"/>
    <w:rsid w:val="00863DCE"/>
    <w:rsid w:val="008651A4"/>
    <w:rsid w:val="00866F9B"/>
    <w:rsid w:val="00870E49"/>
    <w:rsid w:val="00871DC5"/>
    <w:rsid w:val="00873B3E"/>
    <w:rsid w:val="00876803"/>
    <w:rsid w:val="00876B5A"/>
    <w:rsid w:val="00876C3F"/>
    <w:rsid w:val="008832B6"/>
    <w:rsid w:val="008913F3"/>
    <w:rsid w:val="00897A7B"/>
    <w:rsid w:val="008A0D27"/>
    <w:rsid w:val="008A42AF"/>
    <w:rsid w:val="008A5C29"/>
    <w:rsid w:val="008B1927"/>
    <w:rsid w:val="008B4C2F"/>
    <w:rsid w:val="008C3156"/>
    <w:rsid w:val="008C52C5"/>
    <w:rsid w:val="008D38AF"/>
    <w:rsid w:val="008D508E"/>
    <w:rsid w:val="008D5332"/>
    <w:rsid w:val="008E0E90"/>
    <w:rsid w:val="008F0021"/>
    <w:rsid w:val="008F0C74"/>
    <w:rsid w:val="008F3A89"/>
    <w:rsid w:val="008F7913"/>
    <w:rsid w:val="00903EA0"/>
    <w:rsid w:val="00921BD9"/>
    <w:rsid w:val="00926FAE"/>
    <w:rsid w:val="00933596"/>
    <w:rsid w:val="00935C89"/>
    <w:rsid w:val="00950765"/>
    <w:rsid w:val="00953A9E"/>
    <w:rsid w:val="0095619D"/>
    <w:rsid w:val="0095636D"/>
    <w:rsid w:val="009579D9"/>
    <w:rsid w:val="00966B60"/>
    <w:rsid w:val="009675C4"/>
    <w:rsid w:val="00970804"/>
    <w:rsid w:val="0098035F"/>
    <w:rsid w:val="00985E5E"/>
    <w:rsid w:val="009861E7"/>
    <w:rsid w:val="00994990"/>
    <w:rsid w:val="009A4CF3"/>
    <w:rsid w:val="009A55CB"/>
    <w:rsid w:val="009A7760"/>
    <w:rsid w:val="009B1D2E"/>
    <w:rsid w:val="009B6C45"/>
    <w:rsid w:val="009C3E96"/>
    <w:rsid w:val="009D0847"/>
    <w:rsid w:val="009D08CE"/>
    <w:rsid w:val="009D360F"/>
    <w:rsid w:val="009D5783"/>
    <w:rsid w:val="009E215C"/>
    <w:rsid w:val="009E2D8C"/>
    <w:rsid w:val="009E3B52"/>
    <w:rsid w:val="009E6D23"/>
    <w:rsid w:val="009E775F"/>
    <w:rsid w:val="009F370A"/>
    <w:rsid w:val="009F5205"/>
    <w:rsid w:val="009F7F64"/>
    <w:rsid w:val="00A00E70"/>
    <w:rsid w:val="00A013D3"/>
    <w:rsid w:val="00A02D15"/>
    <w:rsid w:val="00A06A52"/>
    <w:rsid w:val="00A07406"/>
    <w:rsid w:val="00A12834"/>
    <w:rsid w:val="00A133A9"/>
    <w:rsid w:val="00A27164"/>
    <w:rsid w:val="00A27FCD"/>
    <w:rsid w:val="00A3030D"/>
    <w:rsid w:val="00A32ED5"/>
    <w:rsid w:val="00A346ED"/>
    <w:rsid w:val="00A656B9"/>
    <w:rsid w:val="00A67BDE"/>
    <w:rsid w:val="00A75B55"/>
    <w:rsid w:val="00A7739E"/>
    <w:rsid w:val="00A77D69"/>
    <w:rsid w:val="00A820AE"/>
    <w:rsid w:val="00A85AC8"/>
    <w:rsid w:val="00A86AC1"/>
    <w:rsid w:val="00AA6DEC"/>
    <w:rsid w:val="00AB75AE"/>
    <w:rsid w:val="00AC57A7"/>
    <w:rsid w:val="00AD4C13"/>
    <w:rsid w:val="00AE2B33"/>
    <w:rsid w:val="00AE7A2F"/>
    <w:rsid w:val="00AE7D57"/>
    <w:rsid w:val="00B0672D"/>
    <w:rsid w:val="00B0732E"/>
    <w:rsid w:val="00B10307"/>
    <w:rsid w:val="00B1247B"/>
    <w:rsid w:val="00B13EB3"/>
    <w:rsid w:val="00B21DEA"/>
    <w:rsid w:val="00B23315"/>
    <w:rsid w:val="00B258EF"/>
    <w:rsid w:val="00B2616B"/>
    <w:rsid w:val="00B3063D"/>
    <w:rsid w:val="00B32BE5"/>
    <w:rsid w:val="00B468A9"/>
    <w:rsid w:val="00B5195D"/>
    <w:rsid w:val="00B6050F"/>
    <w:rsid w:val="00B65B4F"/>
    <w:rsid w:val="00B67D1B"/>
    <w:rsid w:val="00B81655"/>
    <w:rsid w:val="00B87560"/>
    <w:rsid w:val="00B92441"/>
    <w:rsid w:val="00BA0BC4"/>
    <w:rsid w:val="00BA3F9D"/>
    <w:rsid w:val="00BA490B"/>
    <w:rsid w:val="00BB5B3D"/>
    <w:rsid w:val="00BB736B"/>
    <w:rsid w:val="00BD2FCC"/>
    <w:rsid w:val="00BD30E7"/>
    <w:rsid w:val="00BD3D38"/>
    <w:rsid w:val="00BD4234"/>
    <w:rsid w:val="00BE1100"/>
    <w:rsid w:val="00BE2102"/>
    <w:rsid w:val="00BE58B6"/>
    <w:rsid w:val="00BE7941"/>
    <w:rsid w:val="00BF3663"/>
    <w:rsid w:val="00BF62A4"/>
    <w:rsid w:val="00C0790F"/>
    <w:rsid w:val="00C14F1D"/>
    <w:rsid w:val="00C151FB"/>
    <w:rsid w:val="00C301ED"/>
    <w:rsid w:val="00C42EDE"/>
    <w:rsid w:val="00C602B7"/>
    <w:rsid w:val="00C74C78"/>
    <w:rsid w:val="00C874E1"/>
    <w:rsid w:val="00C906CC"/>
    <w:rsid w:val="00CB062B"/>
    <w:rsid w:val="00CB0BEB"/>
    <w:rsid w:val="00CB22BB"/>
    <w:rsid w:val="00CB2793"/>
    <w:rsid w:val="00CB32A0"/>
    <w:rsid w:val="00CB37BA"/>
    <w:rsid w:val="00CC37F5"/>
    <w:rsid w:val="00CF2856"/>
    <w:rsid w:val="00CF50BB"/>
    <w:rsid w:val="00CF7489"/>
    <w:rsid w:val="00D050A9"/>
    <w:rsid w:val="00D13893"/>
    <w:rsid w:val="00D179F6"/>
    <w:rsid w:val="00D17E18"/>
    <w:rsid w:val="00D20730"/>
    <w:rsid w:val="00D22439"/>
    <w:rsid w:val="00D26FFA"/>
    <w:rsid w:val="00D30007"/>
    <w:rsid w:val="00D347E8"/>
    <w:rsid w:val="00D46349"/>
    <w:rsid w:val="00D636BB"/>
    <w:rsid w:val="00D64771"/>
    <w:rsid w:val="00D67AB0"/>
    <w:rsid w:val="00D70928"/>
    <w:rsid w:val="00D773DB"/>
    <w:rsid w:val="00D826DA"/>
    <w:rsid w:val="00D85563"/>
    <w:rsid w:val="00D8629E"/>
    <w:rsid w:val="00D928C5"/>
    <w:rsid w:val="00DB0CEC"/>
    <w:rsid w:val="00DB2B5C"/>
    <w:rsid w:val="00DB4F8F"/>
    <w:rsid w:val="00DD386C"/>
    <w:rsid w:val="00DD5508"/>
    <w:rsid w:val="00DD77A5"/>
    <w:rsid w:val="00DE1389"/>
    <w:rsid w:val="00DE15DA"/>
    <w:rsid w:val="00DE585C"/>
    <w:rsid w:val="00DF1A52"/>
    <w:rsid w:val="00E02BB5"/>
    <w:rsid w:val="00E060E8"/>
    <w:rsid w:val="00E134DF"/>
    <w:rsid w:val="00E3354A"/>
    <w:rsid w:val="00E36426"/>
    <w:rsid w:val="00E402E9"/>
    <w:rsid w:val="00E42042"/>
    <w:rsid w:val="00E449AB"/>
    <w:rsid w:val="00E55840"/>
    <w:rsid w:val="00E56D03"/>
    <w:rsid w:val="00E63582"/>
    <w:rsid w:val="00E66FF1"/>
    <w:rsid w:val="00E70AC1"/>
    <w:rsid w:val="00E71407"/>
    <w:rsid w:val="00E76960"/>
    <w:rsid w:val="00E776B4"/>
    <w:rsid w:val="00E83C9C"/>
    <w:rsid w:val="00E87DF9"/>
    <w:rsid w:val="00E97DFF"/>
    <w:rsid w:val="00EA67A2"/>
    <w:rsid w:val="00EB1928"/>
    <w:rsid w:val="00EE35F9"/>
    <w:rsid w:val="00EE51B8"/>
    <w:rsid w:val="00EE566B"/>
    <w:rsid w:val="00EF3E2C"/>
    <w:rsid w:val="00F00F84"/>
    <w:rsid w:val="00F01910"/>
    <w:rsid w:val="00F0297C"/>
    <w:rsid w:val="00F042C7"/>
    <w:rsid w:val="00F1214D"/>
    <w:rsid w:val="00F300F9"/>
    <w:rsid w:val="00F301A2"/>
    <w:rsid w:val="00F3234A"/>
    <w:rsid w:val="00F43447"/>
    <w:rsid w:val="00F436CA"/>
    <w:rsid w:val="00F45D0A"/>
    <w:rsid w:val="00F47D68"/>
    <w:rsid w:val="00F524FE"/>
    <w:rsid w:val="00F57211"/>
    <w:rsid w:val="00F62BE6"/>
    <w:rsid w:val="00F64822"/>
    <w:rsid w:val="00F73314"/>
    <w:rsid w:val="00F83DB9"/>
    <w:rsid w:val="00F961C9"/>
    <w:rsid w:val="00F96BF6"/>
    <w:rsid w:val="00F974DD"/>
    <w:rsid w:val="00FA2C42"/>
    <w:rsid w:val="00FA659A"/>
    <w:rsid w:val="00FA65F6"/>
    <w:rsid w:val="00FB25D6"/>
    <w:rsid w:val="00FB45C2"/>
    <w:rsid w:val="00FB578D"/>
    <w:rsid w:val="00FE5474"/>
    <w:rsid w:val="00FF5ED9"/>
    <w:rsid w:val="29B85380"/>
    <w:rsid w:val="353B5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240" w:after="240"/>
      <w:jc w:val="left"/>
    </w:pPr>
    <w:rPr>
      <w:rFonts w:ascii="宋体" w:hAnsi="宋体" w:cs="宋体"/>
      <w:kern w:val="0"/>
      <w:sz w:val="24"/>
    </w:rPr>
  </w:style>
  <w:style w:type="character" w:customStyle="1" w:styleId="7">
    <w:name w:val="页眉 Char"/>
    <w:basedOn w:val="5"/>
    <w:link w:val="3"/>
    <w:qFormat/>
    <w:uiPriority w:val="0"/>
    <w:rPr>
      <w:rFonts w:eastAsia="宋体"/>
      <w:kern w:val="2"/>
      <w:sz w:val="18"/>
      <w:szCs w:val="18"/>
      <w:lang w:val="en-US" w:eastAsia="zh-CN" w:bidi="ar-SA"/>
    </w:rPr>
  </w:style>
  <w:style w:type="character" w:customStyle="1" w:styleId="8">
    <w:name w:val="页脚 Char"/>
    <w:basedOn w:val="5"/>
    <w:link w:val="2"/>
    <w:uiPriority w:val="99"/>
    <w:rPr>
      <w:rFonts w:eastAsia="宋体"/>
      <w:kern w:val="2"/>
      <w:sz w:val="18"/>
      <w:szCs w:val="18"/>
      <w:lang w:val="en-US" w:eastAsia="zh-CN" w:bidi="ar-SA"/>
    </w:r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E06133-B85F-4080-951D-BC74E98E81A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25</Pages>
  <Words>1919</Words>
  <Characters>10943</Characters>
  <Lines>91</Lines>
  <Paragraphs>25</Paragraphs>
  <TotalTime>0</TotalTime>
  <ScaleCrop>false</ScaleCrop>
  <LinksUpToDate>false</LinksUpToDate>
  <CharactersWithSpaces>12837</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2018-01-02T09:42:00Z</dcterms:created>
  <dc:creator>User</dc:creator>
  <cp:lastModifiedBy>Administrator</cp:lastModifiedBy>
  <cp:lastPrinted>2018-01-19T09:22:00Z</cp:lastPrinted>
  <dcterms:modified xsi:type="dcterms:W3CDTF">2019-02-21T09:54:46Z</dcterms:modified>
  <dc:title>附件</dc:title>
  <cp:revision>709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