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青铜峡市邵岗镇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2018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年政府信息公开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工作年度报告</w:t>
      </w: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根据《中华人民共和国政府信息公开条例》《宁夏回族自治区实施〈中华人民共和国政府信息公开条例〉办法》（以下简称《条例》《办法》）规定，《青铜峡市邵岗镇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2018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年政府信息公开工作年度报告》已经邵岗镇人民政府同意，现予发布。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本报告由青铜峡市邵岗镇人民政府办公室汇总</w:t>
      </w:r>
      <w:r>
        <w:rPr>
          <w:rFonts w:ascii="方正仿宋_GBK" w:hAnsi="方正仿宋_GBK" w:eastAsia="方正仿宋_GBK" w:cs="方正仿宋_GBK"/>
          <w:sz w:val="32"/>
          <w:szCs w:val="32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个行政村和</w:t>
      </w:r>
      <w:r>
        <w:rPr>
          <w:rFonts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个社区政府信息公开工作情况编制而成，所列政府信息公开数据统计期限为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2018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2018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ascii="方正仿宋_GBK" w:hAnsi="方正仿宋_GBK" w:eastAsia="方正仿宋_GBK" w:cs="方正仿宋_GBK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sz w:val="32"/>
          <w:szCs w:val="32"/>
        </w:rPr>
        <w:t>31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日。本报告电子版可在吴忠·青铜峡</w:t>
      </w:r>
      <w:r>
        <w:rPr>
          <w:rFonts w:ascii="方正仿宋_GBK" w:hAnsi="方正仿宋_GBK" w:eastAsia="方正仿宋_GBK" w:cs="方正仿宋_GBK"/>
          <w:sz w:val="32"/>
          <w:szCs w:val="32"/>
        </w:rPr>
        <w:t>——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青铜峡市人民政府门户网站（</w:t>
      </w:r>
      <w:r>
        <w:rPr>
          <w:rFonts w:ascii="方正仿宋_GBK" w:hAnsi="方正仿宋_GBK" w:eastAsia="方正仿宋_GBK" w:cs="方正仿宋_GBK"/>
          <w:sz w:val="32"/>
          <w:szCs w:val="32"/>
        </w:rPr>
        <w:t>www.qtx.gov.cn/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）查阅或下载。如有疑问或意见建议，请直接与青铜峡市邵岗镇人民政府办公室联系（地址：青铜峡市邵岗镇邵岗街，邮编：</w:t>
      </w:r>
      <w:r>
        <w:rPr>
          <w:rFonts w:ascii="方正仿宋_GBK" w:hAnsi="方正仿宋_GBK" w:eastAsia="方正仿宋_GBK" w:cs="方正仿宋_GBK"/>
          <w:sz w:val="32"/>
          <w:szCs w:val="32"/>
        </w:rPr>
        <w:t>751605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，电话：</w:t>
      </w:r>
      <w:r>
        <w:rPr>
          <w:rFonts w:ascii="方正仿宋_GBK" w:hAnsi="方正仿宋_GBK" w:eastAsia="方正仿宋_GBK" w:cs="方正仿宋_GBK"/>
          <w:sz w:val="32"/>
          <w:szCs w:val="32"/>
        </w:rPr>
        <w:t>0953-3700018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，传真：</w:t>
      </w:r>
      <w:r>
        <w:rPr>
          <w:rFonts w:ascii="方正仿宋_GBK" w:hAnsi="方正仿宋_GBK" w:eastAsia="方正仿宋_GBK" w:cs="方正仿宋_GBK"/>
          <w:sz w:val="32"/>
          <w:szCs w:val="32"/>
        </w:rPr>
        <w:t>0953—3700018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，电子邮箱：</w:t>
      </w:r>
      <w:r>
        <w:rPr>
          <w:rFonts w:ascii="方正仿宋_GBK" w:hAnsi="方正仿宋_GBK" w:eastAsia="方正仿宋_GBK" w:cs="方正仿宋_GBK"/>
          <w:sz w:val="32"/>
          <w:szCs w:val="32"/>
        </w:rPr>
        <w:t>qtxsgzdzb@163.com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一、概述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2018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年，邵岗镇严格按照国家和自治区、吴忠市、青铜峡市关于政府信息公开工作的部署要求，按照“四到位四强化”不断推进提升。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一是责任到位，强化组织保障。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成立以镇政府主要领导为组长，各村委会主任为成员的试点工作领导小组，配备专兼职人员各</w:t>
      </w:r>
      <w:r>
        <w:rPr>
          <w:rFonts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名，各村分别明确</w:t>
      </w:r>
      <w:r>
        <w:rPr>
          <w:rFonts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名政务公开联络员，形成镇、村“</w:t>
      </w:r>
      <w:r>
        <w:rPr>
          <w:rFonts w:ascii="方正仿宋_GBK" w:hAnsi="方正仿宋_GBK" w:eastAsia="方正仿宋_GBK" w:cs="方正仿宋_GBK"/>
          <w:sz w:val="32"/>
          <w:szCs w:val="32"/>
        </w:rPr>
        <w:t>2+1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”的组织体系并在年终效能目标考核中赋值</w:t>
      </w:r>
      <w:r>
        <w:rPr>
          <w:rFonts w:ascii="方正仿宋_GBK" w:hAnsi="方正仿宋_GBK" w:eastAsia="方正仿宋_GBK" w:cs="方正仿宋_GBK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分，确保政务公开工作有人抓、有人管。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二是内容到位，强化公开透明。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严格对照市政府统一汇编的</w:t>
      </w:r>
      <w:r>
        <w:rPr>
          <w:rFonts w:ascii="方正仿宋_GBK" w:hAnsi="方正仿宋_GBK" w:eastAsia="方正仿宋_GBK" w:cs="方正仿宋_GBK"/>
          <w:sz w:val="32"/>
          <w:szCs w:val="32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个试点领域镇级标准公开目录，按照“五公开”及《青铜峡市村务公开制度》要求，全面推进政务公开工作。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三是监督到位，强化民主管理。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加大监督力度，设立政务公开监督电话和举报箱，邀请群众开展义务监督，强化干部廉洁勤政的意识，维护群众的权益。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四是服务到位，强化办事效率。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以“政务公开</w:t>
      </w:r>
      <w:r>
        <w:rPr>
          <w:rFonts w:ascii="方正仿宋_GBK" w:hAnsi="方正仿宋_GBK" w:eastAsia="方正仿宋_GBK" w:cs="方正仿宋_GBK"/>
          <w:sz w:val="32"/>
          <w:szCs w:val="32"/>
        </w:rPr>
        <w:t>+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政务服务”为导向，抓好工作人员业务办理从“一门清”到“门门熟悉”，努力让群众只跑一次。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pict>
          <v:shape id="_x0000_i1025" o:spt="75" alt="1550040904(1)" type="#_x0000_t75" style="height:274.5pt;width:443.25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二、主动公开政府信息情况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2018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年，邵岗镇主动公开政府信息</w:t>
      </w:r>
      <w:r>
        <w:rPr>
          <w:rFonts w:ascii="方正仿宋_GBK" w:hAnsi="方正仿宋_GBK" w:eastAsia="方正仿宋_GBK" w:cs="方正仿宋_GBK"/>
          <w:sz w:val="32"/>
          <w:szCs w:val="32"/>
        </w:rPr>
        <w:t>744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条，其中在智能管理平台公布</w:t>
      </w:r>
      <w:r>
        <w:rPr>
          <w:rFonts w:ascii="方正仿宋_GBK" w:hAnsi="方正仿宋_GBK" w:eastAsia="方正仿宋_GBK" w:cs="方正仿宋_GBK"/>
          <w:sz w:val="32"/>
          <w:szCs w:val="32"/>
        </w:rPr>
        <w:t>79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条，在微信公众号公布</w:t>
      </w:r>
      <w:r>
        <w:rPr>
          <w:rFonts w:ascii="方正仿宋_GBK" w:hAnsi="方正仿宋_GBK" w:eastAsia="方正仿宋_GBK" w:cs="方正仿宋_GBK"/>
          <w:sz w:val="32"/>
          <w:szCs w:val="32"/>
        </w:rPr>
        <w:t>133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条，在镇级、村级公开栏公开</w:t>
      </w:r>
      <w:r>
        <w:rPr>
          <w:rFonts w:ascii="方正仿宋_GBK" w:hAnsi="方正仿宋_GBK" w:eastAsia="方正仿宋_GBK" w:cs="方正仿宋_GBK"/>
          <w:sz w:val="32"/>
          <w:szCs w:val="32"/>
        </w:rPr>
        <w:t>525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条，在政务微博公开</w:t>
      </w:r>
      <w:r>
        <w:rPr>
          <w:rFonts w:ascii="方正仿宋_GBK" w:hAnsi="方正仿宋_GBK" w:eastAsia="方正仿宋_GBK" w:cs="方正仿宋_GBK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条。主要公开了印发的文件，办理事项的结果、工作动态等文件信息，基本满足了社会公众对政府公开信息的查询需要。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pict>
          <v:shape id="_x0000_i1026" o:spt="75" alt="公开数量" type="#_x0000_t75" style="height:246.75pt;width:377.2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三、重点领域政府信息公开情况</w:t>
      </w:r>
    </w:p>
    <w:p>
      <w:pPr>
        <w:spacing w:line="560" w:lineRule="exact"/>
        <w:ind w:firstLine="42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pict>
          <v:shape id="图片 18" o:spid="_x0000_s1026" o:spt="75" alt="1550040465(1)" type="#_x0000_t75" style="position:absolute;left:0pt;margin-left:1.3pt;margin-top:222.05pt;height:184.7pt;width:410.95pt;mso-wrap-distance-bottom:0pt;mso-wrap-distance-top:0pt;z-index:251658240;mso-width-relative:page;mso-height-relative:page;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topAndBottom"/>
          </v:shape>
        </w:pic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针对就业创业、扶贫救灾、环境保护、财政预决算等重点领域，严格按照“五公开”的内容架构在村级公开栏、村民小组公开墙、“和美邵岗”微信公众号、青铜峡市政务公开智能管理平台等按照“线下</w:t>
      </w:r>
      <w:r>
        <w:rPr>
          <w:rFonts w:ascii="方正仿宋_GBK" w:hAnsi="方正仿宋_GBK" w:eastAsia="方正仿宋_GBK" w:cs="方正仿宋_GBK"/>
          <w:sz w:val="32"/>
          <w:szCs w:val="32"/>
        </w:rPr>
        <w:t>+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线上”的方法及时进行公开。重点突出了相关政策的宣传公开、办理流程的公开、办理过程的公开监管、办理结果的公示公开，确保了群众的知情权、参与权和监督权。全年，针对重点领域共公开信息</w:t>
      </w:r>
      <w:r>
        <w:rPr>
          <w:rFonts w:ascii="方正仿宋_GBK" w:hAnsi="方正仿宋_GBK" w:eastAsia="方正仿宋_GBK" w:cs="方正仿宋_GBK"/>
          <w:sz w:val="32"/>
          <w:szCs w:val="32"/>
        </w:rPr>
        <w:t>511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条。</w: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四、推进“互联网</w:t>
      </w:r>
      <w:r>
        <w:rPr>
          <w:rFonts w:ascii="方正黑体_GBK" w:hAnsi="方正黑体_GBK" w:eastAsia="方正黑体_GBK" w:cs="方正黑体_GBK"/>
          <w:sz w:val="32"/>
          <w:szCs w:val="32"/>
        </w:rPr>
        <w:t>+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政务服务”工作情况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充分利用“互联网</w:t>
      </w:r>
      <w:r>
        <w:rPr>
          <w:rFonts w:ascii="方正仿宋_GBK" w:hAnsi="方正仿宋_GBK" w:eastAsia="方正仿宋_GBK" w:cs="方正仿宋_GBK"/>
          <w:sz w:val="32"/>
          <w:szCs w:val="32"/>
        </w:rPr>
        <w:t>+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政务服务”平台，做好政策咨询和办事服务。</w:t>
      </w:r>
      <w:r>
        <w:rPr>
          <w:rFonts w:ascii="方正仿宋_GBK" w:hAnsi="方正仿宋_GBK" w:eastAsia="方正仿宋_GBK" w:cs="方正仿宋_GBK"/>
          <w:sz w:val="32"/>
          <w:szCs w:val="32"/>
        </w:rPr>
        <w:t>2018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年，在政务服务网办理老年证</w:t>
      </w:r>
      <w:r>
        <w:rPr>
          <w:rFonts w:ascii="方正仿宋_GBK" w:hAnsi="方正仿宋_GBK" w:eastAsia="方正仿宋_GBK" w:cs="方正仿宋_GBK"/>
          <w:sz w:val="32"/>
          <w:szCs w:val="32"/>
        </w:rPr>
        <w:t>927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件；办理死亡待遇领取</w:t>
      </w:r>
      <w:r>
        <w:rPr>
          <w:rFonts w:ascii="方正仿宋_GBK" w:hAnsi="方正仿宋_GBK" w:eastAsia="方正仿宋_GBK" w:cs="方正仿宋_GBK"/>
          <w:sz w:val="32"/>
          <w:szCs w:val="32"/>
        </w:rPr>
        <w:t>157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件；参保待遇资格认证</w:t>
      </w:r>
      <w:r>
        <w:rPr>
          <w:rFonts w:ascii="方正仿宋_GBK" w:hAnsi="方正仿宋_GBK" w:eastAsia="方正仿宋_GBK" w:cs="方正仿宋_GBK"/>
          <w:sz w:val="32"/>
          <w:szCs w:val="32"/>
        </w:rPr>
        <w:t>2960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件；参保登记</w:t>
      </w:r>
      <w:r>
        <w:rPr>
          <w:rFonts w:ascii="方正仿宋_GBK" w:hAnsi="方正仿宋_GBK" w:eastAsia="方正仿宋_GBK" w:cs="方正仿宋_GBK"/>
          <w:sz w:val="32"/>
          <w:szCs w:val="32"/>
        </w:rPr>
        <w:t>747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件；定期领取待遇</w:t>
      </w:r>
      <w:r>
        <w:rPr>
          <w:rFonts w:ascii="方正仿宋_GBK" w:hAnsi="方正仿宋_GBK" w:eastAsia="方正仿宋_GBK" w:cs="方正仿宋_GBK"/>
          <w:sz w:val="32"/>
          <w:szCs w:val="32"/>
        </w:rPr>
        <w:t>280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件；“</w:t>
      </w:r>
      <w:r>
        <w:rPr>
          <w:rFonts w:ascii="方正仿宋_GBK" w:hAnsi="方正仿宋_GBK" w:eastAsia="方正仿宋_GBK" w:cs="方正仿宋_GBK"/>
          <w:sz w:val="32"/>
          <w:szCs w:val="32"/>
        </w:rPr>
        <w:t>4050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”信息录入</w:t>
      </w:r>
      <w:r>
        <w:rPr>
          <w:rFonts w:ascii="方正仿宋_GBK" w:hAnsi="方正仿宋_GBK" w:eastAsia="方正仿宋_GBK" w:cs="方正仿宋_GBK"/>
          <w:sz w:val="32"/>
          <w:szCs w:val="32"/>
        </w:rPr>
        <w:t>48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件；</w:t>
      </w:r>
      <w:r>
        <w:rPr>
          <w:rFonts w:ascii="方正仿宋_GBK" w:hAnsi="方正仿宋_GBK" w:eastAsia="方正仿宋_GBK" w:cs="方正仿宋_GBK"/>
          <w:sz w:val="32"/>
          <w:szCs w:val="32"/>
        </w:rPr>
        <w:t>12345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便民服务共接收</w:t>
      </w:r>
      <w:r>
        <w:rPr>
          <w:rFonts w:ascii="方正仿宋_GBK" w:hAnsi="方正仿宋_GBK" w:eastAsia="方正仿宋_GBK" w:cs="方正仿宋_GBK"/>
          <w:sz w:val="32"/>
          <w:szCs w:val="32"/>
        </w:rPr>
        <w:t>48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件，现已全部处理。理清各站室所业务办理流程</w:t>
      </w:r>
      <w:r>
        <w:rPr>
          <w:rFonts w:ascii="方正仿宋_GBK" w:hAnsi="方正仿宋_GBK" w:eastAsia="方正仿宋_GBK" w:cs="方正仿宋_GBK"/>
          <w:sz w:val="32"/>
          <w:szCs w:val="32"/>
        </w:rPr>
        <w:t>37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项，简化办事流程，大幅提升政务服务网上办事水平，让群众办事更加方便、更加快捷、更加有效率，确保群众诉求事项“件件有回音、事事有结果”。</w: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五、各级人大代表建议、政协提案办理结果公开情况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市人大督办议案建议共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件，现已全部办结，办结率</w:t>
      </w:r>
      <w:r>
        <w:rPr>
          <w:rFonts w:ascii="方正仿宋_GBK" w:hAnsi="方正仿宋_GBK" w:eastAsia="方正仿宋_GBK" w:cs="方正仿宋_GBK"/>
          <w:sz w:val="32"/>
          <w:szCs w:val="32"/>
        </w:rPr>
        <w:t>100%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；镇四届人大二次会议期间，镇人民政府共收到人大代表提出的意见建议</w:t>
      </w:r>
      <w:r>
        <w:rPr>
          <w:rFonts w:ascii="方正仿宋_GBK" w:hAnsi="方正仿宋_GBK" w:eastAsia="方正仿宋_GBK" w:cs="方正仿宋_GBK"/>
          <w:sz w:val="32"/>
          <w:szCs w:val="32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条，现已办理和正在办理</w:t>
      </w:r>
      <w:r>
        <w:rPr>
          <w:rFonts w:ascii="方正仿宋_GBK" w:hAnsi="方正仿宋_GBK" w:eastAsia="方正仿宋_GBK" w:cs="方正仿宋_GBK"/>
          <w:sz w:val="32"/>
          <w:szCs w:val="32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条，办结率</w:t>
      </w:r>
      <w:r>
        <w:rPr>
          <w:rFonts w:ascii="方正仿宋_GBK" w:hAnsi="方正仿宋_GBK" w:eastAsia="方正仿宋_GBK" w:cs="方正仿宋_GBK"/>
          <w:sz w:val="32"/>
          <w:szCs w:val="32"/>
        </w:rPr>
        <w:t>86.7%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。及时通过召开座谈会、公示、公开栏等多种形式向社会公开，及时向群众公开最新信息。</w: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六、开展政策解读情况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邵岗镇镇通过现场会议、政策宣传农村“直通车”、农民讲习所和网上发布等形式开展政策解读工作。全年共开政策解读现场会</w:t>
      </w:r>
      <w:r>
        <w:rPr>
          <w:rFonts w:ascii="方正仿宋_GBK" w:hAnsi="方正仿宋_GBK" w:eastAsia="方正仿宋_GBK" w:cs="方正仿宋_GBK"/>
          <w:sz w:val="32"/>
          <w:szCs w:val="32"/>
        </w:rPr>
        <w:t>32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次，主要就乡村振兴战略、各级政府工作报告等组织集中学习。微信公众号共发布政策解读材料</w:t>
      </w:r>
      <w:r>
        <w:rPr>
          <w:rFonts w:ascii="方正仿宋_GBK" w:hAnsi="方正仿宋_GBK" w:eastAsia="方正仿宋_GBK" w:cs="方正仿宋_GBK"/>
          <w:sz w:val="32"/>
          <w:szCs w:val="32"/>
        </w:rPr>
        <w:t>34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篇，均转载自新华网、人民网等权威媒体。</w: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七、回应社会关切情况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年内共收到“市长信息”办理件</w:t>
      </w:r>
      <w:r>
        <w:rPr>
          <w:rFonts w:ascii="方正仿宋_GBK" w:hAnsi="方正仿宋_GBK" w:eastAsia="方正仿宋_GBK" w:cs="方正仿宋_GBK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件，积极与网友取得联系，按照程序已全部按时办结，得到了网友的肯定。</w: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八、政府信息依申请公开工作情况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年内共收到政府信息依申请公开</w:t>
      </w:r>
      <w:r>
        <w:rPr>
          <w:rFonts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件，已按时办结。</w: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九、公开平台载体建设情况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按照“线上</w:t>
      </w:r>
      <w:r>
        <w:rPr>
          <w:rFonts w:ascii="方正仿宋_GBK" w:hAnsi="方正仿宋_GBK" w:eastAsia="方正仿宋_GBK" w:cs="方正仿宋_GBK"/>
          <w:sz w:val="32"/>
          <w:szCs w:val="32"/>
        </w:rPr>
        <w:t>+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线下”的公开方法，目前，线上的的公开平台有智能管理平台、微信公众号、微博、电子屏、农村大喇叭等，线下的公开平台公开栏、村民小组政务公开墙、有编发办事指南、政策明白卡、农民讲习所、政策宣传农村“直通车”等。在完成规定公开形式和内容的同时，针对异地搬迁的移民文化程度低、获取信息渠道窄等因素，邵岗镇创新工作，将评选出的各类好人、最美家庭以及党员作为政务公开中心户，一户中心户联系</w:t>
      </w:r>
      <w:r>
        <w:rPr>
          <w:rFonts w:ascii="方正仿宋_GBK" w:hAnsi="方正仿宋_GBK" w:eastAsia="方正仿宋_GBK" w:cs="方正仿宋_GBK"/>
          <w:sz w:val="32"/>
          <w:szCs w:val="32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户左右的普通群众。让中心户成为政策宣传员、信息传递员、联系群众的沟通员，以点带面，确保公开无死角。</w:t>
      </w:r>
    </w:p>
    <w:p>
      <w:pPr>
        <w:tabs>
          <w:tab w:val="left" w:pos="576"/>
        </w:tabs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pict>
          <v:shape id="_x0000_s1027" o:spid="_x0000_s1027" o:spt="75" alt="1550027952(1)" type="#_x0000_t75" style="position:absolute;left:0pt;margin-left:11pt;margin-top:5.15pt;height:267.55pt;width:415.25pt;mso-wrap-distance-bottom:0pt;mso-wrap-distance-top:0pt;z-index: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topAndBottom"/>
          </v:shape>
        </w:pic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十、完善公开制度机制建设情况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建立健全了“五公开”要求嵌入公文办理和会议办理程序、重大决策预公开、信息公开保密审查等制度并严格按照制度进行落实。按照国家级基层政务公开标准化规范化试点要求，每个村配备宣传公开栏</w:t>
      </w:r>
      <w:r>
        <w:rPr>
          <w:rFonts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个，按照“五公开”架构，及时公开</w:t>
      </w:r>
      <w:r>
        <w:rPr>
          <w:rFonts w:ascii="方正仿宋_GBK" w:hAnsi="方正仿宋_GBK" w:eastAsia="方正仿宋_GBK" w:cs="方正仿宋_GBK"/>
          <w:sz w:val="32"/>
          <w:szCs w:val="32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个试点领域和村务公开内容。其中，邵岗村的政务公开工作接受了国务院的调研检查。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十一、</w:t>
      </w:r>
      <w:r>
        <w:rPr>
          <w:rFonts w:ascii="方正黑体_GBK" w:hAnsi="方正黑体_GBK" w:eastAsia="方正黑体_GBK" w:cs="方正黑体_GBK"/>
          <w:sz w:val="32"/>
          <w:szCs w:val="32"/>
        </w:rPr>
        <w:t>2018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年推进公开工作存在的问题与不足</w:t>
      </w:r>
    </w:p>
    <w:p>
      <w:pPr>
        <w:spacing w:line="560" w:lineRule="exact"/>
        <w:ind w:firstLine="643" w:firstLineChars="20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一是主动公开的意识还不够强。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重视程度不够，主动满足群众公开需要的意愿不足、发布信息总量不够。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二是公开信息的质量和时效有待提升。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开的信息和群众真正想要的信息有时存在“错位”现象，存在着群众关心的没有有效公开，注重结果公开，有时忽略了过程公开；在与群众生活密切相关的公共服务领域，政策措施通俗化解读工作有待进一步加强；及时准确回应社会关切的能力有待进一步提升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三是工作创新能力仍需进一步增强。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目前农村留守老人多，公开方式、公开内容还需进一步创新，贴合实际。</w: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十二、开展</w:t>
      </w:r>
      <w:r>
        <w:rPr>
          <w:rFonts w:ascii="方正黑体_GBK" w:hAnsi="方正黑体_GBK" w:eastAsia="方正黑体_GBK" w:cs="方正黑体_GBK"/>
          <w:sz w:val="32"/>
          <w:szCs w:val="32"/>
        </w:rPr>
        <w:t>2019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年工作的初步计划安排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下一步邵岗镇将严格按照国家和自治区、吴忠市及青铜峡市的要求，围绕目标考核要求，继续大力推进全镇政府信息公开工作，具体做好以下四方面工作：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一是强化组织领导。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要通过组织学习、召开会议、开展督查、纳入考核等多种方式，进一步提高对政府信息公开工作重要性的认识，增强政府信息公开工作的责任感和使命感，坚持把政务公开列入日常工作议程。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二是加大宣传教育力度。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要围绕中心工作，利用各种渠道，采取多种形式，向社会和广大群众深入宣传政府信息公开工作的重要意义，努力形成良好的社会氛围。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三是提高专业化程度。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一步深化群众关注的重点领域信息公开，明确各领域公开内容，确保应公开尽公开。加大对政府重点工作、重要决策部署措施的解读力度，及时关注舆情，回应社会关切。促进政府信息公开工作更加规范、高效运作，更好地为服务各种对象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四是不断丰富公开形式。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坚持多渠道、多形式开展政务公开工作，从方便群众了解信息、办理业务和有利于监督出发，继续加大网络渠道公开力度，做好政府信息公开门户网站、“和美邵岗”微信公众号信息发布，努力提高政务公开曝光率。</w: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十三、其他需要报告的事项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附件：邵岗镇政府信息公开情况统计表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政府信息公开情况统计表</w:t>
      </w:r>
    </w:p>
    <w:p>
      <w:pPr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ascii="方正楷体_GBK" w:hAnsi="方正楷体_GBK" w:eastAsia="方正楷体_GBK" w:cs="方正楷体_GBK"/>
          <w:sz w:val="32"/>
          <w:szCs w:val="32"/>
        </w:rPr>
        <w:t>2018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年度）</w:t>
      </w:r>
    </w:p>
    <w:tbl>
      <w:tblPr>
        <w:tblStyle w:val="6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55"/>
        <w:gridCol w:w="702"/>
        <w:gridCol w:w="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333333"/>
                <w:kern w:val="0"/>
                <w:szCs w:val="21"/>
              </w:rPr>
              <w:t>统　计　指　标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333333"/>
                <w:kern w:val="0"/>
                <w:szCs w:val="21"/>
              </w:rPr>
              <w:t>统计数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0"/>
                <w:szCs w:val="21"/>
              </w:rPr>
              <w:t>一、主动公开情况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—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</w:t>
            </w:r>
            <w:r>
              <w:rPr>
                <w:rFonts w:hint="eastAsia" w:ascii="方正楷体_GBK" w:hAnsi="方正楷体_GBK" w:eastAsia="方正楷体_GBK" w:cs="方正楷体_GBK"/>
                <w:color w:val="333333"/>
                <w:kern w:val="0"/>
                <w:szCs w:val="21"/>
              </w:rPr>
              <w:t>（一）主动公开政府信息数</w:t>
            </w:r>
          </w:p>
        </w:tc>
        <w:tc>
          <w:tcPr>
            <w:tcW w:w="702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条</w:t>
            </w:r>
          </w:p>
        </w:tc>
        <w:tc>
          <w:tcPr>
            <w:tcW w:w="67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（不同渠道和方式公开相同信息计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条）</w:t>
            </w:r>
          </w:p>
        </w:tc>
        <w:tc>
          <w:tcPr>
            <w:tcW w:w="70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</w:p>
        </w:tc>
        <w:tc>
          <w:tcPr>
            <w:tcW w:w="67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　其中：主动公开规范性文件数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条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　　　　制发规范性文件总数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</w:t>
            </w:r>
            <w:r>
              <w:rPr>
                <w:rFonts w:hint="eastAsia" w:ascii="方正楷体_GBK" w:hAnsi="方正楷体_GBK" w:eastAsia="方正楷体_GBK" w:cs="方正楷体_GBK"/>
                <w:color w:val="333333"/>
                <w:kern w:val="0"/>
                <w:szCs w:val="21"/>
              </w:rPr>
              <w:t>（二）通过不同渠道和方式公开政府信息的情况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—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政府公报公开政府信息数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条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政府网站公开政府信息数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条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政务微博公开政府信息数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条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政务微信公开政府信息数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条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其他方式公开政府信息数（公开栏）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条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0"/>
                <w:szCs w:val="21"/>
              </w:rPr>
              <w:t>二、回应解读情况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—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</w:t>
            </w:r>
            <w:r>
              <w:rPr>
                <w:rFonts w:hint="eastAsia" w:ascii="方正楷体_GBK" w:hAnsi="方正楷体_GBK" w:eastAsia="方正楷体_GBK" w:cs="方正楷体_GBK"/>
                <w:color w:val="333333"/>
                <w:kern w:val="0"/>
                <w:szCs w:val="21"/>
              </w:rPr>
              <w:t>（一）回应公众关注热点或重大舆情数</w:t>
            </w:r>
          </w:p>
        </w:tc>
        <w:tc>
          <w:tcPr>
            <w:tcW w:w="702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次</w:t>
            </w:r>
          </w:p>
        </w:tc>
        <w:tc>
          <w:tcPr>
            <w:tcW w:w="679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楷体_GBK" w:hAnsi="方正楷体_GBK" w:eastAsia="方正楷体_GBK" w:cs="方正楷体_GBK"/>
                <w:color w:val="333333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333333"/>
                <w:kern w:val="0"/>
                <w:szCs w:val="21"/>
              </w:rPr>
              <w:t>　　　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（不同方式回应同一热点或舆情计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次）</w:t>
            </w:r>
          </w:p>
        </w:tc>
        <w:tc>
          <w:tcPr>
            <w:tcW w:w="70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</w:p>
        </w:tc>
        <w:tc>
          <w:tcPr>
            <w:tcW w:w="67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楷体_GBK" w:hAnsi="方正楷体_GBK" w:eastAsia="方正楷体_GBK" w:cs="方正楷体_GBK"/>
                <w:color w:val="333333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333333"/>
                <w:kern w:val="0"/>
                <w:szCs w:val="21"/>
              </w:rPr>
              <w:t>　　（二）通过不同渠道和方式回应解读的情况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—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参加或举办新闻发布会总次数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次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其中：主要负责同志参加新闻发布会次数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次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政府网站在线访谈次数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次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其中：主要负责同志参加政府网站在线访谈次数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次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政策解读稿件发布数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篇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微博微信回应事件数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次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其他方式回应事件数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次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0"/>
                <w:szCs w:val="21"/>
              </w:rPr>
              <w:t>三、依申请公开情况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—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</w:t>
            </w:r>
            <w:r>
              <w:rPr>
                <w:rFonts w:hint="eastAsia" w:ascii="方正楷体_GBK" w:hAnsi="方正楷体_GBK" w:eastAsia="方正楷体_GBK" w:cs="方正楷体_GBK"/>
                <w:color w:val="333333"/>
                <w:kern w:val="0"/>
                <w:szCs w:val="21"/>
              </w:rPr>
              <w:t>（一）收到申请数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当面申请数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传真申请数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网络申请数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信函申请数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</w:t>
            </w:r>
            <w:r>
              <w:rPr>
                <w:rFonts w:hint="eastAsia" w:ascii="方正楷体_GBK" w:hAnsi="方正楷体_GBK" w:eastAsia="方正楷体_GBK" w:cs="方正楷体_GBK"/>
                <w:color w:val="333333"/>
                <w:kern w:val="0"/>
                <w:szCs w:val="21"/>
              </w:rPr>
              <w:t>（二）申请办结数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按时办结数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延期办结数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</w:t>
            </w:r>
            <w:r>
              <w:rPr>
                <w:rFonts w:hint="eastAsia" w:ascii="方正楷体_GBK" w:hAnsi="方正楷体_GBK" w:eastAsia="方正楷体_GBK" w:cs="方正楷体_GBK"/>
                <w:color w:val="333333"/>
                <w:kern w:val="0"/>
                <w:szCs w:val="21"/>
              </w:rPr>
              <w:t>　（三）申请答复数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属于已主动公开范围数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同意公开答复数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同意部分公开答复数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不同意公开答复数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其中：涉及国家秘密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涉及商业秘密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涉及个人隐私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危及国家安全、公共安全、经济安全和社会稳定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不是《条例》所指政府信息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法律法规规定的其他情形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不属于本行政机关公开数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申请信息不存在数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7.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告知作出更改补充数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　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8.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告知通过其他途径办理数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0"/>
                <w:szCs w:val="21"/>
              </w:rPr>
              <w:t>四、行政复议数量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</w:t>
            </w:r>
            <w:r>
              <w:rPr>
                <w:rFonts w:hint="eastAsia" w:ascii="方正楷体_GBK" w:hAnsi="方正楷体_GBK" w:eastAsia="方正楷体_GBK" w:cs="方正楷体_GBK"/>
                <w:color w:val="333333"/>
                <w:kern w:val="0"/>
                <w:szCs w:val="21"/>
              </w:rPr>
              <w:t>（一）维持具体行政行为数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</w:t>
            </w:r>
            <w:r>
              <w:rPr>
                <w:rFonts w:hint="eastAsia" w:ascii="方正楷体_GBK" w:hAnsi="方正楷体_GBK" w:eastAsia="方正楷体_GBK" w:cs="方正楷体_GBK"/>
                <w:color w:val="333333"/>
                <w:kern w:val="0"/>
                <w:szCs w:val="21"/>
              </w:rPr>
              <w:t>（二）被依法纠错数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</w:t>
            </w:r>
            <w:r>
              <w:rPr>
                <w:rFonts w:hint="eastAsia" w:ascii="方正楷体_GBK" w:hAnsi="方正楷体_GBK" w:eastAsia="方正楷体_GBK" w:cs="方正楷体_GBK"/>
                <w:color w:val="333333"/>
                <w:kern w:val="0"/>
                <w:szCs w:val="21"/>
              </w:rPr>
              <w:t>（三）其他情形数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0"/>
                <w:szCs w:val="21"/>
              </w:rPr>
              <w:t>五、行政诉讼数量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楷体_GBK" w:hAnsi="方正楷体_GBK" w:eastAsia="方正楷体_GBK" w:cs="方正楷体_GBK"/>
                <w:color w:val="333333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333333"/>
                <w:kern w:val="0"/>
                <w:szCs w:val="21"/>
              </w:rPr>
              <w:t>　　（一）维持具体行政行为或者驳回原告诉讼请求数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楷体_GBK" w:hAnsi="方正楷体_GBK" w:eastAsia="方正楷体_GBK" w:cs="方正楷体_GBK"/>
                <w:color w:val="333333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333333"/>
                <w:kern w:val="0"/>
                <w:szCs w:val="21"/>
              </w:rPr>
              <w:t>　　（二）被依法纠错数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楷体_GBK" w:hAnsi="方正楷体_GBK" w:eastAsia="方正楷体_GBK" w:cs="方正楷体_GBK"/>
                <w:color w:val="333333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333333"/>
                <w:kern w:val="0"/>
                <w:szCs w:val="21"/>
              </w:rPr>
              <w:t>　　（三）其他情形数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0"/>
                <w:szCs w:val="21"/>
              </w:rPr>
              <w:t>六、举报投诉数量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件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0"/>
                <w:szCs w:val="21"/>
              </w:rPr>
              <w:t>七、依申请公开信息收取的费用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distribute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万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0"/>
                <w:szCs w:val="21"/>
              </w:rPr>
              <w:t>八、机构建设和保障经费情况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—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楷体_GBK" w:hAnsi="方正楷体_GBK" w:eastAsia="方正楷体_GBK" w:cs="方正楷体_GBK"/>
                <w:color w:val="333333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333333"/>
                <w:kern w:val="0"/>
                <w:szCs w:val="21"/>
              </w:rPr>
              <w:t>　　（一）政府信息公开工作专门机构数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个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楷体_GBK" w:hAnsi="方正楷体_GBK" w:eastAsia="方正楷体_GBK" w:cs="方正楷体_GBK"/>
                <w:color w:val="333333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333333"/>
                <w:kern w:val="0"/>
                <w:szCs w:val="21"/>
              </w:rPr>
              <w:t>　　（二）设置政府信息公开查阅点数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个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楷体_GBK" w:hAnsi="方正楷体_GBK" w:eastAsia="方正楷体_GBK" w:cs="方正楷体_GBK"/>
                <w:color w:val="333333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333333"/>
                <w:kern w:val="0"/>
                <w:szCs w:val="21"/>
              </w:rPr>
              <w:t>　　（三）从事政府信息公开工作人员数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人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专职人员数（不包括政府公报及政府网站工作人员数）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人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　　</w:t>
            </w: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兼职人员数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人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6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楷体_GBK" w:hAnsi="方正楷体_GBK" w:eastAsia="方正楷体_GBK" w:cs="方正楷体_GBK"/>
                <w:color w:val="333333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333333"/>
                <w:kern w:val="0"/>
                <w:szCs w:val="21"/>
              </w:rPr>
              <w:t>　　（四）政府信息公开专项经费（不包括用于政府公报编辑管理及政府网站建设维护等方面的经费）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333333"/>
                <w:kern w:val="0"/>
                <w:szCs w:val="21"/>
              </w:rPr>
              <w:t>（主要用于制作宣传栏、宣传）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万元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楷体_GBK" w:hAnsi="方正楷体_GBK" w:eastAsia="方正楷体_GBK" w:cs="方正楷体_GBK"/>
                <w:color w:val="333333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333333"/>
                <w:kern w:val="0"/>
                <w:szCs w:val="21"/>
              </w:rPr>
              <w:t>九、政府信息公开会议和培训情况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kern w:val="0"/>
                <w:szCs w:val="21"/>
              </w:rPr>
              <w:t>—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楷体_GBK" w:hAnsi="方正楷体_GBK" w:eastAsia="方正楷体_GBK" w:cs="方正楷体_GBK"/>
                <w:color w:val="333333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333333"/>
                <w:kern w:val="0"/>
                <w:szCs w:val="21"/>
              </w:rPr>
              <w:t>　　（一）召开政府信息公开工作会议或专题会议数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次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楷体_GBK" w:hAnsi="方正楷体_GBK" w:eastAsia="方正楷体_GBK" w:cs="方正楷体_GBK"/>
                <w:color w:val="333333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333333"/>
                <w:kern w:val="0"/>
                <w:szCs w:val="21"/>
              </w:rPr>
              <w:t>　　（二）举办各类培训班数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次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8" w:hRule="atLeast"/>
        </w:trPr>
        <w:tc>
          <w:tcPr>
            <w:tcW w:w="69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方正楷体_GBK" w:hAnsi="方正楷体_GBK" w:eastAsia="方正楷体_GBK" w:cs="方正楷体_GBK"/>
                <w:color w:val="333333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333333"/>
                <w:kern w:val="0"/>
                <w:szCs w:val="21"/>
              </w:rPr>
              <w:t>　　（三）接受培训人员数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Cs w:val="21"/>
              </w:rPr>
              <w:t>人次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333333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Cs w:val="21"/>
              </w:rPr>
              <w:t>35</w:t>
            </w:r>
          </w:p>
        </w:tc>
      </w:tr>
    </w:tbl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856319A"/>
    <w:rsid w:val="000F190F"/>
    <w:rsid w:val="00104A70"/>
    <w:rsid w:val="00302587"/>
    <w:rsid w:val="00420172"/>
    <w:rsid w:val="0054263D"/>
    <w:rsid w:val="00914250"/>
    <w:rsid w:val="009F5813"/>
    <w:rsid w:val="00BF273C"/>
    <w:rsid w:val="00C154E1"/>
    <w:rsid w:val="00C45E5E"/>
    <w:rsid w:val="00E3112C"/>
    <w:rsid w:val="0A216057"/>
    <w:rsid w:val="0F427A21"/>
    <w:rsid w:val="101A5CFD"/>
    <w:rsid w:val="13DD7D68"/>
    <w:rsid w:val="259D7F5D"/>
    <w:rsid w:val="26EF2D32"/>
    <w:rsid w:val="41C3089C"/>
    <w:rsid w:val="42BF6FCA"/>
    <w:rsid w:val="455266FA"/>
    <w:rsid w:val="4B325A6D"/>
    <w:rsid w:val="563B4F82"/>
    <w:rsid w:val="581300F4"/>
    <w:rsid w:val="5856319A"/>
    <w:rsid w:val="65895E7D"/>
    <w:rsid w:val="669F6695"/>
    <w:rsid w:val="6B6D5E35"/>
    <w:rsid w:val="7177540C"/>
    <w:rsid w:val="7836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Footer Char"/>
    <w:basedOn w:val="5"/>
    <w:link w:val="2"/>
    <w:semiHidden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724</Words>
  <Characters>4130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2019-02-11T02:22:00Z</dcterms:created>
  <dc:creator>26°蓝</dc:creator>
  <cp:lastModifiedBy>Administrator</cp:lastModifiedBy>
  <cp:lastPrinted>2019-02-13T02:59:00Z</cp:lastPrinted>
  <dcterms:modified xsi:type="dcterms:W3CDTF">2019-03-28T03:09:56Z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