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eastAsia="仿宋"/>
                <w:sz w:val="32"/>
              </w:rPr>
              <w:t>青发改备案〔201</w:t>
            </w:r>
            <w:r>
              <w:rPr>
                <w:rFonts w:hint="eastAsia" w:ascii="仿宋" w:eastAsia="仿宋"/>
                <w:sz w:val="32"/>
                <w:lang w:val="en-US" w:eastAsia="zh-CN"/>
              </w:rPr>
              <w:t>7</w:t>
            </w:r>
            <w:r>
              <w:rPr>
                <w:rFonts w:hint="eastAsia" w:ascii="仿宋" w:eastAsia="仿宋"/>
                <w:sz w:val="32"/>
              </w:rPr>
              <w:t>〕</w:t>
            </w:r>
            <w:r>
              <w:rPr>
                <w:rFonts w:hint="eastAsia" w:ascii="仿宋" w:eastAsia="仿宋"/>
                <w:sz w:val="32"/>
                <w:lang w:val="en-US" w:eastAsia="zh-CN"/>
              </w:rPr>
              <w:t>59</w:t>
            </w:r>
            <w:r>
              <w:rPr>
                <w:rFonts w:hint="eastAsia" w:ascii="仿宋" w:eastAsia="仿宋"/>
                <w:sz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eastAsia="仿宋_GB2312"/>
                <w:sz w:val="32"/>
                <w:szCs w:val="32"/>
              </w:rPr>
              <w:t>宁夏青铜峡市维加妮酒庄有限公司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精品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果香型红葡萄酒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开发及产业化</w:t>
            </w: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  <w:bookmarkEnd w:id="0"/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新建葡萄酒灌装生产线一条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主要建设</w:t>
            </w:r>
            <w:r>
              <w:rPr>
                <w:rFonts w:hint="eastAsia" w:ascii="仿宋_GB2312" w:eastAsia="仿宋_GB2312"/>
                <w:sz w:val="32"/>
                <w:szCs w:val="32"/>
              </w:rPr>
              <w:t>葡萄酒发酵车间2000平方米，葡萄酒灌装车间1000平方米，酒窖500平方米；购置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安装</w:t>
            </w:r>
            <w:r>
              <w:rPr>
                <w:rFonts w:hint="eastAsia" w:ascii="仿宋_GB2312" w:eastAsia="仿宋_GB2312"/>
                <w:sz w:val="32"/>
                <w:szCs w:val="32"/>
              </w:rPr>
              <w:t>灌装设备、除梗机、震动分选平台、破碎机、果浆泵、制冷机、气囊压榨机、出渣盆、发酵罐、储酒罐等共计85台套。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宁夏青铜峡市维加妮酒庄有限公司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91640381083541127R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91640381083541127R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22017/4/7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27562FE"/>
    <w:rsid w:val="050E22F0"/>
    <w:rsid w:val="05B77796"/>
    <w:rsid w:val="060539AA"/>
    <w:rsid w:val="069C48EC"/>
    <w:rsid w:val="0ACD1EE2"/>
    <w:rsid w:val="0AF670BF"/>
    <w:rsid w:val="0F2364AD"/>
    <w:rsid w:val="10981479"/>
    <w:rsid w:val="10B66D8F"/>
    <w:rsid w:val="13765FE5"/>
    <w:rsid w:val="172D1FFB"/>
    <w:rsid w:val="18A454BA"/>
    <w:rsid w:val="1A4941D2"/>
    <w:rsid w:val="1E5B1F10"/>
    <w:rsid w:val="209867DD"/>
    <w:rsid w:val="224809BC"/>
    <w:rsid w:val="2683131C"/>
    <w:rsid w:val="298E7522"/>
    <w:rsid w:val="2B052BE0"/>
    <w:rsid w:val="2D42624F"/>
    <w:rsid w:val="2F6052EA"/>
    <w:rsid w:val="347D2C69"/>
    <w:rsid w:val="3B254224"/>
    <w:rsid w:val="3BF876F6"/>
    <w:rsid w:val="3E5F2965"/>
    <w:rsid w:val="40F64BE5"/>
    <w:rsid w:val="427E79ED"/>
    <w:rsid w:val="45527B08"/>
    <w:rsid w:val="46CB6C56"/>
    <w:rsid w:val="48BA6CC7"/>
    <w:rsid w:val="4B716AEC"/>
    <w:rsid w:val="4D37290D"/>
    <w:rsid w:val="4E3D79AD"/>
    <w:rsid w:val="50BE6D04"/>
    <w:rsid w:val="52753514"/>
    <w:rsid w:val="57C72ED5"/>
    <w:rsid w:val="598C15E8"/>
    <w:rsid w:val="5B213F34"/>
    <w:rsid w:val="5FB07804"/>
    <w:rsid w:val="664906F0"/>
    <w:rsid w:val="6EB11F25"/>
    <w:rsid w:val="76553C74"/>
    <w:rsid w:val="77063542"/>
    <w:rsid w:val="781676F9"/>
    <w:rsid w:val="7888389C"/>
    <w:rsid w:val="7BA57A21"/>
    <w:rsid w:val="7E2F08C8"/>
    <w:rsid w:val="7F7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2017-10-16T09:31:12Z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