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tabs>
          <w:tab w:val="left" w:pos="3644"/>
        </w:tabs>
        <w:kinsoku/>
        <w:wordWrap/>
        <w:overflowPunct/>
        <w:topLinePunct w:val="0"/>
        <w:autoSpaceDE/>
        <w:autoSpaceDN/>
        <w:bidi w:val="0"/>
        <w:adjustRightInd/>
        <w:spacing w:line="360" w:lineRule="auto"/>
        <w:jc w:val="both"/>
        <w:outlineLvl w:val="9"/>
        <w:rPr>
          <w:rFonts w:hint="eastAsia" w:ascii="方正小标宋_GBK" w:hAnsi="方正小标宋_GBK" w:eastAsia="方正小标宋_GBK" w:cs="方正小标宋_GBK"/>
          <w:b w:val="0"/>
          <w:bCs w:val="0"/>
          <w:color w:val="auto"/>
          <w:spacing w:val="102"/>
          <w:kern w:val="44"/>
          <w:sz w:val="56"/>
          <w:szCs w:val="56"/>
          <w:lang w:val="en-US" w:eastAsia="zh-CN" w:bidi="ar-SA"/>
        </w:rPr>
      </w:pPr>
      <w:bookmarkStart w:id="0" w:name="_Toc32237"/>
      <w:bookmarkStart w:id="1" w:name="_Toc5256"/>
      <w:bookmarkStart w:id="2" w:name="_Toc19972"/>
    </w:p>
    <w:p>
      <w:pPr>
        <w:keepNext w:val="0"/>
        <w:keepLines w:val="0"/>
        <w:pageBreakBefore w:val="0"/>
        <w:tabs>
          <w:tab w:val="left" w:pos="3644"/>
        </w:tabs>
        <w:kinsoku/>
        <w:wordWrap/>
        <w:overflowPunct/>
        <w:topLinePunct w:val="0"/>
        <w:autoSpaceDE/>
        <w:autoSpaceDN/>
        <w:bidi w:val="0"/>
        <w:adjustRightInd/>
        <w:spacing w:line="360" w:lineRule="auto"/>
        <w:jc w:val="center"/>
        <w:outlineLvl w:val="9"/>
        <w:rPr>
          <w:rFonts w:hint="eastAsia" w:ascii="方正小标宋_GBK" w:hAnsi="方正小标宋_GBK" w:eastAsia="方正小标宋_GBK" w:cs="方正小标宋_GBK"/>
          <w:b w:val="0"/>
          <w:bCs w:val="0"/>
          <w:color w:val="auto"/>
          <w:spacing w:val="102"/>
          <w:kern w:val="44"/>
          <w:sz w:val="56"/>
          <w:szCs w:val="56"/>
          <w:lang w:val="en-US" w:eastAsia="zh-CN" w:bidi="ar-SA"/>
        </w:rPr>
      </w:pPr>
    </w:p>
    <w:p>
      <w:pPr>
        <w:pStyle w:val="2"/>
        <w:outlineLvl w:val="9"/>
        <w:rPr>
          <w:rFonts w:hint="eastAsia"/>
          <w:lang w:val="en-US" w:eastAsia="zh-CN"/>
        </w:rPr>
      </w:pPr>
    </w:p>
    <w:p>
      <w:pPr>
        <w:keepNext w:val="0"/>
        <w:keepLines w:val="0"/>
        <w:pageBreakBefore w:val="0"/>
        <w:tabs>
          <w:tab w:val="left" w:pos="3644"/>
        </w:tabs>
        <w:kinsoku/>
        <w:wordWrap/>
        <w:overflowPunct/>
        <w:topLinePunct w:val="0"/>
        <w:autoSpaceDE/>
        <w:autoSpaceDN/>
        <w:bidi w:val="0"/>
        <w:adjustRightInd/>
        <w:spacing w:line="360" w:lineRule="auto"/>
        <w:jc w:val="center"/>
        <w:outlineLvl w:val="0"/>
        <w:rPr>
          <w:rFonts w:hint="eastAsia" w:ascii="方正小标宋_GBK" w:hAnsi="方正小标宋_GBK" w:eastAsia="方正小标宋_GBK" w:cs="方正小标宋_GBK"/>
          <w:b w:val="0"/>
          <w:bCs w:val="0"/>
          <w:color w:val="auto"/>
          <w:spacing w:val="0"/>
          <w:kern w:val="44"/>
          <w:sz w:val="56"/>
          <w:szCs w:val="56"/>
          <w:lang w:val="en-US" w:eastAsia="zh-CN" w:bidi="ar-SA"/>
        </w:rPr>
      </w:pPr>
      <w:bookmarkStart w:id="3" w:name="_Toc13117"/>
      <w:r>
        <w:rPr>
          <w:rFonts w:hint="eastAsia" w:ascii="方正小标宋_GBK" w:hAnsi="方正小标宋_GBK" w:eastAsia="方正小标宋_GBK" w:cs="方正小标宋_GBK"/>
          <w:b w:val="0"/>
          <w:bCs w:val="0"/>
          <w:color w:val="auto"/>
          <w:spacing w:val="0"/>
          <w:kern w:val="44"/>
          <w:sz w:val="56"/>
          <w:szCs w:val="56"/>
          <w:lang w:val="en-US" w:eastAsia="zh-CN" w:bidi="ar-SA"/>
        </w:rPr>
        <w:t>青铜峡市殡葬事业发展规划</w:t>
      </w:r>
      <w:bookmarkEnd w:id="0"/>
      <w:bookmarkEnd w:id="1"/>
      <w:bookmarkEnd w:id="2"/>
      <w:bookmarkEnd w:id="3"/>
    </w:p>
    <w:p>
      <w:pPr>
        <w:keepNext w:val="0"/>
        <w:keepLines w:val="0"/>
        <w:pageBreakBefore w:val="0"/>
        <w:tabs>
          <w:tab w:val="left" w:pos="3644"/>
        </w:tabs>
        <w:kinsoku/>
        <w:wordWrap/>
        <w:overflowPunct/>
        <w:topLinePunct w:val="0"/>
        <w:autoSpaceDE/>
        <w:autoSpaceDN/>
        <w:bidi w:val="0"/>
        <w:adjustRightInd/>
        <w:spacing w:line="360" w:lineRule="auto"/>
        <w:jc w:val="center"/>
        <w:outlineLvl w:val="9"/>
        <w:rPr>
          <w:rFonts w:hint="eastAsia" w:ascii="方正小标宋_GBK" w:hAnsi="方正小标宋_GBK" w:eastAsia="方正小标宋_GBK" w:cs="方正小标宋_GBK"/>
          <w:b w:val="0"/>
          <w:bCs w:val="0"/>
          <w:color w:val="auto"/>
          <w:kern w:val="44"/>
          <w:sz w:val="56"/>
          <w:szCs w:val="56"/>
          <w:lang w:val="en-US" w:eastAsia="zh-CN" w:bidi="ar-SA"/>
        </w:rPr>
      </w:pPr>
      <w:r>
        <w:rPr>
          <w:rFonts w:hint="eastAsia" w:ascii="方正小标宋_GBK" w:hAnsi="方正小标宋_GBK" w:eastAsia="方正小标宋_GBK" w:cs="方正小标宋_GBK"/>
          <w:b w:val="0"/>
          <w:bCs w:val="0"/>
          <w:color w:val="auto"/>
          <w:kern w:val="44"/>
          <w:sz w:val="56"/>
          <w:szCs w:val="56"/>
          <w:lang w:val="en-US" w:eastAsia="zh-CN" w:bidi="ar-SA"/>
        </w:rPr>
        <w:t>（2023-2035年）</w:t>
      </w: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kinsoku/>
        <w:wordWrap/>
        <w:overflowPunct/>
        <w:topLinePunct w:val="0"/>
        <w:autoSpaceDE/>
        <w:autoSpaceDN/>
        <w:bidi w:val="0"/>
        <w:adjustRightInd/>
        <w:spacing w:after="0" w:afterLines="0" w:line="360" w:lineRule="auto"/>
        <w:rPr>
          <w:rFonts w:hint="eastAsia"/>
          <w:color w:val="auto"/>
          <w:sz w:val="18"/>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eastAsia" w:ascii="方正黑体_GBK" w:hAnsi="方正黑体_GBK" w:eastAsia="方正黑体_GBK" w:cs="方正黑体_GBK"/>
          <w:snapToGrid/>
          <w:color w:val="000000"/>
          <w:kern w:val="0"/>
          <w:sz w:val="32"/>
          <w:szCs w:val="32"/>
          <w:lang w:val="en-US" w:eastAsia="zh-CN" w:bidi="ar"/>
        </w:rPr>
      </w:pPr>
      <w:r>
        <w:rPr>
          <w:rFonts w:hint="eastAsia" w:ascii="方正黑体_GBK" w:hAnsi="方正黑体_GBK" w:eastAsia="方正黑体_GBK" w:cs="方正黑体_GBK"/>
          <w:snapToGrid/>
          <w:color w:val="000000"/>
          <w:kern w:val="0"/>
          <w:sz w:val="32"/>
          <w:szCs w:val="32"/>
          <w:lang w:val="en-US" w:eastAsia="zh-CN" w:bidi="ar"/>
        </w:rPr>
        <w:t>青铜峡市人民政府</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eastAsia" w:ascii="方正黑体_GBK" w:hAnsi="方正黑体_GBK" w:eastAsia="方正黑体_GBK" w:cs="方正黑体_GBK"/>
          <w:snapToGrid/>
          <w:color w:val="000000"/>
          <w:kern w:val="0"/>
          <w:sz w:val="32"/>
          <w:szCs w:val="32"/>
          <w:lang w:val="en-US" w:eastAsia="zh-CN" w:bidi="ar"/>
        </w:rPr>
        <w:sectPr>
          <w:headerReference r:id="rId3" w:type="default"/>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ascii="方正黑体_GBK" w:hAnsi="方正黑体_GBK" w:eastAsia="方正黑体_GBK" w:cs="方正黑体_GBK"/>
          <w:snapToGrid/>
          <w:color w:val="000000"/>
          <w:kern w:val="0"/>
          <w:sz w:val="32"/>
          <w:szCs w:val="32"/>
          <w:lang w:val="en-US" w:eastAsia="zh-CN" w:bidi="ar"/>
        </w:rPr>
        <w:t>2023年12月</w:t>
      </w:r>
    </w:p>
    <w:sdt>
      <w:sdtPr>
        <w:rPr>
          <w:rFonts w:hint="eastAsia" w:ascii="方正小标宋_GBK" w:hAnsi="方正小标宋_GBK" w:eastAsia="方正小标宋_GBK" w:cs="方正小标宋_GBK"/>
          <w:snapToGrid/>
          <w:color w:val="000000"/>
          <w:kern w:val="2"/>
          <w:sz w:val="44"/>
          <w:szCs w:val="44"/>
          <w:lang w:val="en-US" w:eastAsia="zh-CN"/>
        </w:rPr>
        <w:id w:val="147474839"/>
        <w15:color w:val="DBDBDB"/>
      </w:sdtPr>
      <w:sdtEndPr>
        <w:rPr>
          <w:rFonts w:hint="eastAsia" w:ascii="黑体" w:hAnsi="黑体" w:eastAsia="黑体" w:cs="黑体"/>
          <w:b/>
          <w:snapToGrid/>
          <w:color w:val="auto"/>
          <w:kern w:val="2"/>
          <w:sz w:val="21"/>
          <w:szCs w:val="32"/>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r>
            <w:rPr>
              <w:rFonts w:hint="eastAsia" w:ascii="方正小标宋_GBK" w:hAnsi="方正小标宋_GBK" w:eastAsia="方正小标宋_GBK" w:cs="方正小标宋_GBK"/>
              <w:snapToGrid/>
              <w:color w:val="000000"/>
              <w:kern w:val="2"/>
              <w:sz w:val="44"/>
              <w:szCs w:val="44"/>
              <w:lang w:val="en-US" w:eastAsia="zh-CN"/>
            </w:rPr>
            <w:t>目 录</w:t>
          </w:r>
        </w:p>
        <w:p>
          <w:pPr>
            <w:pStyle w:val="13"/>
            <w:tabs>
              <w:tab w:val="right" w:leader="dot" w:pos="8306"/>
            </w:tabs>
            <w:spacing w:line="240" w:lineRule="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color w:val="auto"/>
              <w:sz w:val="28"/>
              <w:szCs w:val="28"/>
              <w:lang w:val="en-US" w:eastAsia="zh-CN"/>
            </w:rPr>
            <w:instrText xml:space="preserve">TOC \o "1-2" \h \u </w:instrText>
          </w:r>
          <w:r>
            <w:rPr>
              <w:rFonts w:hint="eastAsia" w:ascii="方正仿宋_GBK" w:hAnsi="方正仿宋_GBK" w:eastAsia="方正仿宋_GBK" w:cs="方正仿宋_GBK"/>
              <w:color w:val="auto"/>
              <w:sz w:val="28"/>
              <w:szCs w:val="28"/>
              <w:lang w:val="en-US" w:eastAsia="zh-CN"/>
            </w:rPr>
            <w:fldChar w:fldCharType="separate"/>
          </w:r>
          <w:r>
            <w:rPr>
              <w:rFonts w:hint="eastAsia" w:ascii="方正仿宋_GBK" w:hAnsi="方正仿宋_GBK" w:eastAsia="方正仿宋_GBK" w:cs="方正仿宋_GBK"/>
              <w:b/>
              <w:color w:val="auto"/>
              <w:sz w:val="32"/>
              <w:szCs w:val="32"/>
              <w:lang w:val="en-US" w:eastAsia="zh-CN"/>
            </w:rPr>
            <w:fldChar w:fldCharType="begin"/>
          </w:r>
          <w:r>
            <w:rPr>
              <w:rFonts w:hint="eastAsia" w:ascii="方正仿宋_GBK" w:hAnsi="方正仿宋_GBK" w:eastAsia="方正仿宋_GBK" w:cs="方正仿宋_GBK"/>
              <w:b/>
              <w:sz w:val="32"/>
              <w:szCs w:val="32"/>
              <w:lang w:val="en-US" w:eastAsia="zh-CN"/>
            </w:rPr>
            <w:instrText xml:space="preserve"> HYPERLINK \l _Toc10459 </w:instrText>
          </w:r>
          <w:r>
            <w:rPr>
              <w:rFonts w:hint="eastAsia" w:ascii="方正仿宋_GBK" w:hAnsi="方正仿宋_GBK" w:eastAsia="方正仿宋_GBK" w:cs="方正仿宋_GBK"/>
              <w:b/>
              <w:sz w:val="32"/>
              <w:szCs w:val="32"/>
              <w:lang w:val="en-US" w:eastAsia="zh-CN"/>
            </w:rPr>
            <w:fldChar w:fldCharType="separate"/>
          </w:r>
          <w:r>
            <w:rPr>
              <w:rFonts w:hint="eastAsia" w:ascii="方正仿宋_GBK" w:hAnsi="方正仿宋_GBK" w:eastAsia="方正仿宋_GBK" w:cs="方正仿宋_GBK"/>
              <w:b/>
              <w:sz w:val="32"/>
              <w:szCs w:val="32"/>
              <w:lang w:val="en-US" w:eastAsia="zh-CN"/>
            </w:rPr>
            <w:t>第一章  总  则</w:t>
          </w:r>
          <w:r>
            <w:rPr>
              <w:rFonts w:hint="eastAsia" w:ascii="方正仿宋_GBK" w:hAnsi="方正仿宋_GBK" w:eastAsia="方正仿宋_GBK" w:cs="方正仿宋_GBK"/>
              <w:b/>
              <w:sz w:val="32"/>
              <w:szCs w:val="32"/>
            </w:rPr>
            <w:tab/>
          </w:r>
          <w:r>
            <w:rPr>
              <w:rFonts w:hint="eastAsia" w:ascii="方正仿宋_GBK" w:hAnsi="方正仿宋_GBK" w:eastAsia="方正仿宋_GBK" w:cs="方正仿宋_GBK"/>
              <w:b/>
              <w:sz w:val="32"/>
              <w:szCs w:val="32"/>
            </w:rPr>
            <w:fldChar w:fldCharType="begin"/>
          </w:r>
          <w:r>
            <w:rPr>
              <w:rFonts w:hint="eastAsia" w:ascii="方正仿宋_GBK" w:hAnsi="方正仿宋_GBK" w:eastAsia="方正仿宋_GBK" w:cs="方正仿宋_GBK"/>
              <w:b/>
              <w:sz w:val="32"/>
              <w:szCs w:val="32"/>
            </w:rPr>
            <w:instrText xml:space="preserve"> PAGEREF _Toc10459 \h </w:instrText>
          </w:r>
          <w:r>
            <w:rPr>
              <w:rFonts w:hint="eastAsia" w:ascii="方正仿宋_GBK" w:hAnsi="方正仿宋_GBK" w:eastAsia="方正仿宋_GBK" w:cs="方正仿宋_GBK"/>
              <w:b/>
              <w:sz w:val="32"/>
              <w:szCs w:val="32"/>
            </w:rPr>
            <w:fldChar w:fldCharType="separate"/>
          </w:r>
          <w:r>
            <w:rPr>
              <w:rFonts w:hint="eastAsia" w:ascii="方正仿宋_GBK" w:hAnsi="方正仿宋_GBK" w:eastAsia="方正仿宋_GBK" w:cs="方正仿宋_GBK"/>
              <w:b/>
              <w:sz w:val="32"/>
              <w:szCs w:val="32"/>
            </w:rPr>
            <w:t>1</w:t>
          </w:r>
          <w:r>
            <w:rPr>
              <w:rFonts w:hint="eastAsia" w:ascii="方正仿宋_GBK" w:hAnsi="方正仿宋_GBK" w:eastAsia="方正仿宋_GBK" w:cs="方正仿宋_GBK"/>
              <w:b/>
              <w:sz w:val="32"/>
              <w:szCs w:val="32"/>
            </w:rPr>
            <w:fldChar w:fldCharType="end"/>
          </w:r>
          <w:r>
            <w:rPr>
              <w:rFonts w:hint="eastAsia" w:ascii="方正仿宋_GBK" w:hAnsi="方正仿宋_GBK" w:eastAsia="方正仿宋_GBK" w:cs="方正仿宋_GBK"/>
              <w:b/>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_Toc22673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一、规划背景</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_Toc22673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_Toc21161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二、指导思想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_Toc21161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_Toc22499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三、规划原则</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_Toc22499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_Toc31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四、规划范围</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_Toc31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_Toc26717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五、规划内容</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_Toc26717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_Toc12994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六、规划期限</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_Toc12994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_Toc6250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七、目标任务</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_Toc6250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_Toc28253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八、规划依据</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_Toc28253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3"/>
            <w:tabs>
              <w:tab w:val="right" w:leader="dot" w:pos="8306"/>
            </w:tabs>
            <w:spacing w:line="240" w:lineRule="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color w:val="auto"/>
              <w:sz w:val="32"/>
              <w:szCs w:val="32"/>
              <w:lang w:val="en-US" w:eastAsia="zh-CN"/>
            </w:rPr>
            <w:fldChar w:fldCharType="begin"/>
          </w:r>
          <w:r>
            <w:rPr>
              <w:rFonts w:hint="eastAsia" w:ascii="方正仿宋_GBK" w:hAnsi="方正仿宋_GBK" w:eastAsia="方正仿宋_GBK" w:cs="方正仿宋_GBK"/>
              <w:b/>
              <w:sz w:val="32"/>
              <w:szCs w:val="32"/>
              <w:lang w:val="en-US" w:eastAsia="zh-CN"/>
            </w:rPr>
            <w:instrText xml:space="preserve"> HYPERLINK \l _Toc6001 </w:instrText>
          </w:r>
          <w:r>
            <w:rPr>
              <w:rFonts w:hint="eastAsia" w:ascii="方正仿宋_GBK" w:hAnsi="方正仿宋_GBK" w:eastAsia="方正仿宋_GBK" w:cs="方正仿宋_GBK"/>
              <w:b/>
              <w:sz w:val="32"/>
              <w:szCs w:val="32"/>
              <w:lang w:val="en-US" w:eastAsia="zh-CN"/>
            </w:rPr>
            <w:fldChar w:fldCharType="separate"/>
          </w:r>
          <w:r>
            <w:rPr>
              <w:rFonts w:hint="eastAsia" w:ascii="方正仿宋_GBK" w:hAnsi="方正仿宋_GBK" w:eastAsia="方正仿宋_GBK" w:cs="方正仿宋_GBK"/>
              <w:b/>
              <w:sz w:val="32"/>
              <w:szCs w:val="32"/>
              <w:lang w:val="en-US" w:eastAsia="zh-CN"/>
            </w:rPr>
            <w:t>第二章  殡葬用地现状</w:t>
          </w:r>
          <w:r>
            <w:rPr>
              <w:rFonts w:hint="eastAsia" w:ascii="方正仿宋_GBK" w:hAnsi="方正仿宋_GBK" w:eastAsia="方正仿宋_GBK" w:cs="方正仿宋_GBK"/>
              <w:b/>
              <w:sz w:val="32"/>
              <w:szCs w:val="32"/>
            </w:rPr>
            <w:tab/>
          </w:r>
          <w:r>
            <w:rPr>
              <w:rFonts w:hint="eastAsia" w:ascii="方正仿宋_GBK" w:hAnsi="方正仿宋_GBK" w:eastAsia="方正仿宋_GBK" w:cs="方正仿宋_GBK"/>
              <w:b/>
              <w:sz w:val="32"/>
              <w:szCs w:val="32"/>
            </w:rPr>
            <w:fldChar w:fldCharType="begin"/>
          </w:r>
          <w:r>
            <w:rPr>
              <w:rFonts w:hint="eastAsia" w:ascii="方正仿宋_GBK" w:hAnsi="方正仿宋_GBK" w:eastAsia="方正仿宋_GBK" w:cs="方正仿宋_GBK"/>
              <w:b/>
              <w:sz w:val="32"/>
              <w:szCs w:val="32"/>
            </w:rPr>
            <w:instrText xml:space="preserve"> PAGEREF _Toc6001 \h </w:instrText>
          </w:r>
          <w:r>
            <w:rPr>
              <w:rFonts w:hint="eastAsia" w:ascii="方正仿宋_GBK" w:hAnsi="方正仿宋_GBK" w:eastAsia="方正仿宋_GBK" w:cs="方正仿宋_GBK"/>
              <w:b/>
              <w:sz w:val="32"/>
              <w:szCs w:val="32"/>
            </w:rPr>
            <w:fldChar w:fldCharType="separate"/>
          </w:r>
          <w:r>
            <w:rPr>
              <w:rFonts w:hint="eastAsia" w:ascii="方正仿宋_GBK" w:hAnsi="方正仿宋_GBK" w:eastAsia="方正仿宋_GBK" w:cs="方正仿宋_GBK"/>
              <w:b/>
              <w:sz w:val="32"/>
              <w:szCs w:val="32"/>
            </w:rPr>
            <w:t>7</w:t>
          </w:r>
          <w:r>
            <w:rPr>
              <w:rFonts w:hint="eastAsia" w:ascii="方正仿宋_GBK" w:hAnsi="方正仿宋_GBK" w:eastAsia="方正仿宋_GBK" w:cs="方正仿宋_GBK"/>
              <w:b/>
              <w:sz w:val="32"/>
              <w:szCs w:val="32"/>
            </w:rPr>
            <w:fldChar w:fldCharType="end"/>
          </w:r>
          <w:r>
            <w:rPr>
              <w:rFonts w:hint="eastAsia" w:ascii="方正仿宋_GBK" w:hAnsi="方正仿宋_GBK" w:eastAsia="方正仿宋_GBK" w:cs="方正仿宋_GBK"/>
              <w:b/>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_Toc7266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一、自然概况</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_Toc7266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_Toc18998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二、人口概况</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_Toc18998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_Toc4914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三、殡葬设施现状</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_Toc4914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_Toc26496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四、土地利用现状</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_Toc26496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18</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_Toc10432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五、公墓管理存在问题</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_Toc10432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3"/>
            <w:tabs>
              <w:tab w:val="right" w:leader="dot" w:pos="8306"/>
            </w:tabs>
            <w:spacing w:line="240" w:lineRule="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color w:val="auto"/>
              <w:sz w:val="32"/>
              <w:szCs w:val="32"/>
              <w:lang w:val="en-US" w:eastAsia="zh-CN"/>
            </w:rPr>
            <w:fldChar w:fldCharType="begin"/>
          </w:r>
          <w:r>
            <w:rPr>
              <w:rFonts w:hint="eastAsia" w:ascii="方正仿宋_GBK" w:hAnsi="方正仿宋_GBK" w:eastAsia="方正仿宋_GBK" w:cs="方正仿宋_GBK"/>
              <w:b/>
              <w:sz w:val="32"/>
              <w:szCs w:val="32"/>
              <w:lang w:val="en-US" w:eastAsia="zh-CN"/>
            </w:rPr>
            <w:instrText xml:space="preserve"> HYPERLINK \l _Toc1718 </w:instrText>
          </w:r>
          <w:r>
            <w:rPr>
              <w:rFonts w:hint="eastAsia" w:ascii="方正仿宋_GBK" w:hAnsi="方正仿宋_GBK" w:eastAsia="方正仿宋_GBK" w:cs="方正仿宋_GBK"/>
              <w:b/>
              <w:sz w:val="32"/>
              <w:szCs w:val="32"/>
              <w:lang w:val="en-US" w:eastAsia="zh-CN"/>
            </w:rPr>
            <w:fldChar w:fldCharType="separate"/>
          </w:r>
          <w:r>
            <w:rPr>
              <w:rFonts w:hint="eastAsia" w:ascii="方正仿宋_GBK" w:hAnsi="方正仿宋_GBK" w:eastAsia="方正仿宋_GBK" w:cs="方正仿宋_GBK"/>
              <w:b/>
              <w:sz w:val="32"/>
              <w:szCs w:val="32"/>
              <w:lang w:val="en-US" w:eastAsia="zh-CN"/>
            </w:rPr>
            <w:t>第三章  殡葬设施用地规模预测</w:t>
          </w:r>
          <w:r>
            <w:rPr>
              <w:rFonts w:hint="eastAsia" w:ascii="方正仿宋_GBK" w:hAnsi="方正仿宋_GBK" w:eastAsia="方正仿宋_GBK" w:cs="方正仿宋_GBK"/>
              <w:b/>
              <w:sz w:val="32"/>
              <w:szCs w:val="32"/>
            </w:rPr>
            <w:tab/>
          </w:r>
          <w:r>
            <w:rPr>
              <w:rFonts w:hint="eastAsia" w:ascii="方正仿宋_GBK" w:hAnsi="方正仿宋_GBK" w:eastAsia="方正仿宋_GBK" w:cs="方正仿宋_GBK"/>
              <w:b/>
              <w:sz w:val="32"/>
              <w:szCs w:val="32"/>
            </w:rPr>
            <w:fldChar w:fldCharType="begin"/>
          </w:r>
          <w:r>
            <w:rPr>
              <w:rFonts w:hint="eastAsia" w:ascii="方正仿宋_GBK" w:hAnsi="方正仿宋_GBK" w:eastAsia="方正仿宋_GBK" w:cs="方正仿宋_GBK"/>
              <w:b/>
              <w:sz w:val="32"/>
              <w:szCs w:val="32"/>
            </w:rPr>
            <w:instrText xml:space="preserve"> PAGEREF _Toc1718 \h </w:instrText>
          </w:r>
          <w:r>
            <w:rPr>
              <w:rFonts w:hint="eastAsia" w:ascii="方正仿宋_GBK" w:hAnsi="方正仿宋_GBK" w:eastAsia="方正仿宋_GBK" w:cs="方正仿宋_GBK"/>
              <w:b/>
              <w:sz w:val="32"/>
              <w:szCs w:val="32"/>
            </w:rPr>
            <w:fldChar w:fldCharType="separate"/>
          </w:r>
          <w:r>
            <w:rPr>
              <w:rFonts w:hint="eastAsia" w:ascii="方正仿宋_GBK" w:hAnsi="方正仿宋_GBK" w:eastAsia="方正仿宋_GBK" w:cs="方正仿宋_GBK"/>
              <w:b/>
              <w:sz w:val="32"/>
              <w:szCs w:val="32"/>
            </w:rPr>
            <w:t>21</w:t>
          </w:r>
          <w:r>
            <w:rPr>
              <w:rFonts w:hint="eastAsia" w:ascii="方正仿宋_GBK" w:hAnsi="方正仿宋_GBK" w:eastAsia="方正仿宋_GBK" w:cs="方正仿宋_GBK"/>
              <w:b/>
              <w:sz w:val="32"/>
              <w:szCs w:val="32"/>
            </w:rPr>
            <w:fldChar w:fldCharType="end"/>
          </w:r>
          <w:r>
            <w:rPr>
              <w:rFonts w:hint="eastAsia" w:ascii="方正仿宋_GBK" w:hAnsi="方正仿宋_GBK" w:eastAsia="方正仿宋_GBK" w:cs="方正仿宋_GBK"/>
              <w:b/>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_Toc13095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一、殡葬用地测算依据及标准</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_Toc13095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_Toc6281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二、人口发展规模预测</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_Toc6281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_Toc12083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三、殡葬设施用地需求预测及分析</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_Toc12083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_Toc16883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四、现有殡葬用地情况</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_Toc16883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24</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_Toc17387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kern w:val="2"/>
              <w:sz w:val="32"/>
              <w:szCs w:val="32"/>
              <w:lang w:val="en-US" w:eastAsia="zh-CN" w:bidi="ar-SA"/>
            </w:rPr>
            <w:t>五、殡葬用地总需求</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_Toc17387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_Toc5127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bCs/>
              <w:sz w:val="32"/>
              <w:szCs w:val="32"/>
              <w:lang w:val="en-US" w:eastAsia="zh-CN"/>
            </w:rPr>
            <w:t>六、</w:t>
          </w:r>
          <w:r>
            <w:rPr>
              <w:rFonts w:hint="eastAsia" w:ascii="方正仿宋_GBK" w:hAnsi="方正仿宋_GBK" w:eastAsia="方正仿宋_GBK" w:cs="方正仿宋_GBK"/>
              <w:sz w:val="32"/>
              <w:szCs w:val="32"/>
              <w:lang w:val="en-US" w:eastAsia="zh-CN"/>
            </w:rPr>
            <w:t>各公墓用地需求</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_Toc5127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_Toc21399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七、各公墓（5年、13年、远景）用地需求</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_Toc21399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3"/>
            <w:tabs>
              <w:tab w:val="right" w:leader="dot" w:pos="8306"/>
            </w:tabs>
            <w:spacing w:line="240" w:lineRule="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color w:val="auto"/>
              <w:sz w:val="32"/>
              <w:szCs w:val="32"/>
              <w:lang w:val="en-US" w:eastAsia="zh-CN"/>
            </w:rPr>
            <w:fldChar w:fldCharType="begin"/>
          </w:r>
          <w:r>
            <w:rPr>
              <w:rFonts w:hint="eastAsia" w:ascii="方正仿宋_GBK" w:hAnsi="方正仿宋_GBK" w:eastAsia="方正仿宋_GBK" w:cs="方正仿宋_GBK"/>
              <w:b/>
              <w:sz w:val="32"/>
              <w:szCs w:val="32"/>
              <w:lang w:val="en-US" w:eastAsia="zh-CN"/>
            </w:rPr>
            <w:instrText xml:space="preserve"> HYPERLINK \l _Toc12137 </w:instrText>
          </w:r>
          <w:r>
            <w:rPr>
              <w:rFonts w:hint="eastAsia" w:ascii="方正仿宋_GBK" w:hAnsi="方正仿宋_GBK" w:eastAsia="方正仿宋_GBK" w:cs="方正仿宋_GBK"/>
              <w:b/>
              <w:sz w:val="32"/>
              <w:szCs w:val="32"/>
              <w:lang w:val="en-US" w:eastAsia="zh-CN"/>
            </w:rPr>
            <w:fldChar w:fldCharType="separate"/>
          </w:r>
          <w:r>
            <w:rPr>
              <w:rFonts w:hint="eastAsia" w:ascii="方正仿宋_GBK" w:hAnsi="方正仿宋_GBK" w:eastAsia="方正仿宋_GBK" w:cs="方正仿宋_GBK"/>
              <w:b/>
              <w:sz w:val="32"/>
              <w:szCs w:val="32"/>
              <w:lang w:val="en-US" w:eastAsia="zh-CN"/>
            </w:rPr>
            <w:t>第四章  殡葬用地规划布局</w:t>
          </w:r>
          <w:r>
            <w:rPr>
              <w:rFonts w:hint="eastAsia" w:ascii="方正仿宋_GBK" w:hAnsi="方正仿宋_GBK" w:eastAsia="方正仿宋_GBK" w:cs="方正仿宋_GBK"/>
              <w:b/>
              <w:sz w:val="32"/>
              <w:szCs w:val="32"/>
            </w:rPr>
            <w:tab/>
          </w:r>
          <w:r>
            <w:rPr>
              <w:rFonts w:hint="eastAsia" w:ascii="方正仿宋_GBK" w:hAnsi="方正仿宋_GBK" w:eastAsia="方正仿宋_GBK" w:cs="方正仿宋_GBK"/>
              <w:b/>
              <w:sz w:val="32"/>
              <w:szCs w:val="32"/>
            </w:rPr>
            <w:fldChar w:fldCharType="begin"/>
          </w:r>
          <w:r>
            <w:rPr>
              <w:rFonts w:hint="eastAsia" w:ascii="方正仿宋_GBK" w:hAnsi="方正仿宋_GBK" w:eastAsia="方正仿宋_GBK" w:cs="方正仿宋_GBK"/>
              <w:b/>
              <w:sz w:val="32"/>
              <w:szCs w:val="32"/>
            </w:rPr>
            <w:instrText xml:space="preserve"> PAGEREF _Toc12137 \h </w:instrText>
          </w:r>
          <w:r>
            <w:rPr>
              <w:rFonts w:hint="eastAsia" w:ascii="方正仿宋_GBK" w:hAnsi="方正仿宋_GBK" w:eastAsia="方正仿宋_GBK" w:cs="方正仿宋_GBK"/>
              <w:b/>
              <w:sz w:val="32"/>
              <w:szCs w:val="32"/>
            </w:rPr>
            <w:fldChar w:fldCharType="separate"/>
          </w:r>
          <w:r>
            <w:rPr>
              <w:rFonts w:hint="eastAsia" w:ascii="方正仿宋_GBK" w:hAnsi="方正仿宋_GBK" w:eastAsia="方正仿宋_GBK" w:cs="方正仿宋_GBK"/>
              <w:b/>
              <w:sz w:val="32"/>
              <w:szCs w:val="32"/>
            </w:rPr>
            <w:t>32</w:t>
          </w:r>
          <w:r>
            <w:rPr>
              <w:rFonts w:hint="eastAsia" w:ascii="方正仿宋_GBK" w:hAnsi="方正仿宋_GBK" w:eastAsia="方正仿宋_GBK" w:cs="方正仿宋_GBK"/>
              <w:b/>
              <w:sz w:val="32"/>
              <w:szCs w:val="32"/>
            </w:rPr>
            <w:fldChar w:fldCharType="end"/>
          </w:r>
          <w:r>
            <w:rPr>
              <w:rFonts w:hint="eastAsia" w:ascii="方正仿宋_GBK" w:hAnsi="方正仿宋_GBK" w:eastAsia="方正仿宋_GBK" w:cs="方正仿宋_GBK"/>
              <w:b/>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_Toc3552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一、选址原则及建设标准</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_Toc3552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_Toc6249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二、殡葬设施用地选址</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_Toc6249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_Toc21492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三、规范殡葬设施用地审批手续</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_Toc21492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_Toc26901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四、殡葬设施规划建设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_Toc26901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34</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五、各殡葬设施近期重点建设项目</w:t>
          </w:r>
          <w:r>
            <w:rPr>
              <w:rFonts w:hint="eastAsia" w:ascii="方正仿宋_GBK" w:hAnsi="方正仿宋_GBK" w:eastAsia="方正仿宋_GBK" w:cs="方正仿宋_GBK"/>
              <w:sz w:val="32"/>
              <w:szCs w:val="32"/>
              <w:lang w:val="en-US" w:eastAsia="zh-CN"/>
            </w:rPr>
            <w:tab/>
          </w:r>
          <w:r>
            <w:rPr>
              <w:rFonts w:hint="eastAsia" w:ascii="方正仿宋_GBK" w:hAnsi="方正仿宋_GBK" w:eastAsia="方正仿宋_GBK" w:cs="方正仿宋_GBK"/>
              <w:sz w:val="32"/>
              <w:szCs w:val="32"/>
              <w:lang w:val="en-US" w:eastAsia="zh-CN"/>
            </w:rPr>
            <w:t>39</w:t>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_Toc1753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六、与相关规划衔接</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_Toc1753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_Toc14529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七、建立基本殡葬服务制度</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_Toc14529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40</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3"/>
            <w:tabs>
              <w:tab w:val="right" w:leader="dot" w:pos="8306"/>
            </w:tabs>
            <w:spacing w:line="240" w:lineRule="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color w:val="auto"/>
              <w:sz w:val="32"/>
              <w:szCs w:val="32"/>
              <w:lang w:val="en-US" w:eastAsia="zh-CN"/>
            </w:rPr>
            <w:fldChar w:fldCharType="begin"/>
          </w:r>
          <w:r>
            <w:rPr>
              <w:rFonts w:hint="eastAsia" w:ascii="方正仿宋_GBK" w:hAnsi="方正仿宋_GBK" w:eastAsia="方正仿宋_GBK" w:cs="方正仿宋_GBK"/>
              <w:b/>
              <w:sz w:val="32"/>
              <w:szCs w:val="32"/>
              <w:lang w:val="en-US" w:eastAsia="zh-CN"/>
            </w:rPr>
            <w:instrText xml:space="preserve"> HYPERLINK \l _Toc22874 </w:instrText>
          </w:r>
          <w:r>
            <w:rPr>
              <w:rFonts w:hint="eastAsia" w:ascii="方正仿宋_GBK" w:hAnsi="方正仿宋_GBK" w:eastAsia="方正仿宋_GBK" w:cs="方正仿宋_GBK"/>
              <w:b/>
              <w:sz w:val="32"/>
              <w:szCs w:val="32"/>
              <w:lang w:val="en-US" w:eastAsia="zh-CN"/>
            </w:rPr>
            <w:fldChar w:fldCharType="separate"/>
          </w:r>
          <w:r>
            <w:rPr>
              <w:rFonts w:hint="eastAsia" w:ascii="方正仿宋_GBK" w:hAnsi="方正仿宋_GBK" w:eastAsia="方正仿宋_GBK" w:cs="方正仿宋_GBK"/>
              <w:b/>
              <w:sz w:val="32"/>
              <w:szCs w:val="32"/>
              <w:lang w:val="en-US" w:eastAsia="zh-CN"/>
            </w:rPr>
            <w:t>第五章  殡葬管理制度</w:t>
          </w:r>
          <w:r>
            <w:rPr>
              <w:rFonts w:hint="eastAsia" w:ascii="方正仿宋_GBK" w:hAnsi="方正仿宋_GBK" w:eastAsia="方正仿宋_GBK" w:cs="方正仿宋_GBK"/>
              <w:b/>
              <w:sz w:val="32"/>
              <w:szCs w:val="32"/>
            </w:rPr>
            <w:tab/>
          </w:r>
          <w:r>
            <w:rPr>
              <w:rFonts w:hint="eastAsia" w:ascii="方正仿宋_GBK" w:hAnsi="方正仿宋_GBK" w:eastAsia="方正仿宋_GBK" w:cs="方正仿宋_GBK"/>
              <w:b/>
              <w:sz w:val="32"/>
              <w:szCs w:val="32"/>
            </w:rPr>
            <w:fldChar w:fldCharType="begin"/>
          </w:r>
          <w:r>
            <w:rPr>
              <w:rFonts w:hint="eastAsia" w:ascii="方正仿宋_GBK" w:hAnsi="方正仿宋_GBK" w:eastAsia="方正仿宋_GBK" w:cs="方正仿宋_GBK"/>
              <w:b/>
              <w:sz w:val="32"/>
              <w:szCs w:val="32"/>
            </w:rPr>
            <w:instrText xml:space="preserve"> PAGEREF _Toc22874 \h </w:instrText>
          </w:r>
          <w:r>
            <w:rPr>
              <w:rFonts w:hint="eastAsia" w:ascii="方正仿宋_GBK" w:hAnsi="方正仿宋_GBK" w:eastAsia="方正仿宋_GBK" w:cs="方正仿宋_GBK"/>
              <w:b/>
              <w:sz w:val="32"/>
              <w:szCs w:val="32"/>
            </w:rPr>
            <w:fldChar w:fldCharType="separate"/>
          </w:r>
          <w:r>
            <w:rPr>
              <w:rFonts w:hint="eastAsia" w:ascii="方正仿宋_GBK" w:hAnsi="方正仿宋_GBK" w:eastAsia="方正仿宋_GBK" w:cs="方正仿宋_GBK"/>
              <w:b/>
              <w:sz w:val="32"/>
              <w:szCs w:val="32"/>
            </w:rPr>
            <w:t>43</w:t>
          </w:r>
          <w:r>
            <w:rPr>
              <w:rFonts w:hint="eastAsia" w:ascii="方正仿宋_GBK" w:hAnsi="方正仿宋_GBK" w:eastAsia="方正仿宋_GBK" w:cs="方正仿宋_GBK"/>
              <w:b/>
              <w:sz w:val="32"/>
              <w:szCs w:val="32"/>
            </w:rPr>
            <w:fldChar w:fldCharType="end"/>
          </w:r>
          <w:r>
            <w:rPr>
              <w:rFonts w:hint="eastAsia" w:ascii="方正仿宋_GBK" w:hAnsi="方正仿宋_GBK" w:eastAsia="方正仿宋_GBK" w:cs="方正仿宋_GBK"/>
              <w:b/>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_Toc3279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一、完善殡葬管理办法</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_Toc3279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_Toc18979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二、明确部门职责</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_Toc18979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44</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_Toc1216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三、创新管理模式</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_Toc1216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4"/>
            <w:tabs>
              <w:tab w:val="right" w:leader="dot" w:pos="8306"/>
            </w:tabs>
            <w:spacing w:line="24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auto"/>
              <w:sz w:val="32"/>
              <w:szCs w:val="32"/>
              <w:lang w:val="en-US" w:eastAsia="zh-CN"/>
            </w:rPr>
            <w:fldChar w:fldCharType="begin"/>
          </w:r>
          <w:r>
            <w:rPr>
              <w:rFonts w:hint="eastAsia" w:ascii="方正仿宋_GBK" w:hAnsi="方正仿宋_GBK" w:eastAsia="方正仿宋_GBK" w:cs="方正仿宋_GBK"/>
              <w:sz w:val="32"/>
              <w:szCs w:val="32"/>
              <w:lang w:val="en-US" w:eastAsia="zh-CN"/>
            </w:rPr>
            <w:instrText xml:space="preserve"> HYPERLINK \l _Toc20495 </w:instrText>
          </w:r>
          <w:r>
            <w:rPr>
              <w:rFonts w:hint="eastAsia" w:ascii="方正仿宋_GBK" w:hAnsi="方正仿宋_GBK" w:eastAsia="方正仿宋_GBK" w:cs="方正仿宋_GBK"/>
              <w:sz w:val="32"/>
              <w:szCs w:val="32"/>
              <w:lang w:val="en-US" w:eastAsia="zh-CN"/>
            </w:rPr>
            <w:fldChar w:fldCharType="separate"/>
          </w:r>
          <w:r>
            <w:rPr>
              <w:rFonts w:hint="eastAsia" w:ascii="方正仿宋_GBK" w:hAnsi="方正仿宋_GBK" w:eastAsia="方正仿宋_GBK" w:cs="方正仿宋_GBK"/>
              <w:sz w:val="32"/>
              <w:szCs w:val="32"/>
              <w:lang w:val="en-US" w:eastAsia="zh-CN"/>
            </w:rPr>
            <w:t>四、强化保障措施</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_Toc20495 \h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color w:val="auto"/>
              <w:sz w:val="32"/>
              <w:szCs w:val="32"/>
              <w:lang w:val="en-US" w:eastAsia="zh-CN"/>
            </w:rPr>
            <w:fldChar w:fldCharType="end"/>
          </w:r>
        </w:p>
        <w:p>
          <w:pPr>
            <w:pStyle w:val="13"/>
            <w:tabs>
              <w:tab w:val="right" w:leader="dot" w:pos="8306"/>
            </w:tabs>
            <w:spacing w:line="240" w:lineRule="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color w:val="auto"/>
              <w:sz w:val="32"/>
              <w:szCs w:val="32"/>
              <w:lang w:val="en-US" w:eastAsia="zh-CN"/>
            </w:rPr>
            <w:fldChar w:fldCharType="begin"/>
          </w:r>
          <w:r>
            <w:rPr>
              <w:rFonts w:hint="eastAsia" w:ascii="方正仿宋_GBK" w:hAnsi="方正仿宋_GBK" w:eastAsia="方正仿宋_GBK" w:cs="方正仿宋_GBK"/>
              <w:b/>
              <w:sz w:val="32"/>
              <w:szCs w:val="32"/>
              <w:lang w:val="en-US" w:eastAsia="zh-CN"/>
            </w:rPr>
            <w:instrText xml:space="preserve"> HYPERLINK \l _Toc17370 </w:instrText>
          </w:r>
          <w:r>
            <w:rPr>
              <w:rFonts w:hint="eastAsia" w:ascii="方正仿宋_GBK" w:hAnsi="方正仿宋_GBK" w:eastAsia="方正仿宋_GBK" w:cs="方正仿宋_GBK"/>
              <w:b/>
              <w:sz w:val="32"/>
              <w:szCs w:val="32"/>
              <w:lang w:val="en-US" w:eastAsia="zh-CN"/>
            </w:rPr>
            <w:fldChar w:fldCharType="separate"/>
          </w:r>
          <w:r>
            <w:rPr>
              <w:rFonts w:hint="eastAsia" w:ascii="方正仿宋_GBK" w:hAnsi="方正仿宋_GBK" w:eastAsia="方正仿宋_GBK" w:cs="方正仿宋_GBK"/>
              <w:b/>
              <w:sz w:val="32"/>
              <w:szCs w:val="32"/>
              <w:lang w:val="en-US" w:eastAsia="zh-CN"/>
            </w:rPr>
            <w:t>第六章  附则</w:t>
          </w:r>
          <w:r>
            <w:rPr>
              <w:rFonts w:hint="eastAsia" w:ascii="方正仿宋_GBK" w:hAnsi="方正仿宋_GBK" w:eastAsia="方正仿宋_GBK" w:cs="方正仿宋_GBK"/>
              <w:b/>
              <w:sz w:val="32"/>
              <w:szCs w:val="32"/>
            </w:rPr>
            <w:tab/>
          </w:r>
          <w:r>
            <w:rPr>
              <w:rFonts w:hint="eastAsia" w:ascii="方正仿宋_GBK" w:hAnsi="方正仿宋_GBK" w:eastAsia="方正仿宋_GBK" w:cs="方正仿宋_GBK"/>
              <w:b/>
              <w:sz w:val="32"/>
              <w:szCs w:val="32"/>
            </w:rPr>
            <w:fldChar w:fldCharType="begin"/>
          </w:r>
          <w:r>
            <w:rPr>
              <w:rFonts w:hint="eastAsia" w:ascii="方正仿宋_GBK" w:hAnsi="方正仿宋_GBK" w:eastAsia="方正仿宋_GBK" w:cs="方正仿宋_GBK"/>
              <w:b/>
              <w:sz w:val="32"/>
              <w:szCs w:val="32"/>
            </w:rPr>
            <w:instrText xml:space="preserve"> PAGEREF _Toc17370 \h </w:instrText>
          </w:r>
          <w:r>
            <w:rPr>
              <w:rFonts w:hint="eastAsia" w:ascii="方正仿宋_GBK" w:hAnsi="方正仿宋_GBK" w:eastAsia="方正仿宋_GBK" w:cs="方正仿宋_GBK"/>
              <w:b/>
              <w:sz w:val="32"/>
              <w:szCs w:val="32"/>
            </w:rPr>
            <w:fldChar w:fldCharType="separate"/>
          </w:r>
          <w:r>
            <w:rPr>
              <w:rFonts w:hint="eastAsia" w:ascii="方正仿宋_GBK" w:hAnsi="方正仿宋_GBK" w:eastAsia="方正仿宋_GBK" w:cs="方正仿宋_GBK"/>
              <w:b/>
              <w:sz w:val="32"/>
              <w:szCs w:val="32"/>
            </w:rPr>
            <w:t>52</w:t>
          </w:r>
          <w:r>
            <w:rPr>
              <w:rFonts w:hint="eastAsia" w:ascii="方正仿宋_GBK" w:hAnsi="方正仿宋_GBK" w:eastAsia="方正仿宋_GBK" w:cs="方正仿宋_GBK"/>
              <w:b/>
              <w:sz w:val="32"/>
              <w:szCs w:val="32"/>
            </w:rPr>
            <w:fldChar w:fldCharType="end"/>
          </w:r>
          <w:r>
            <w:rPr>
              <w:rFonts w:hint="eastAsia" w:ascii="方正仿宋_GBK" w:hAnsi="方正仿宋_GBK" w:eastAsia="方正仿宋_GBK" w:cs="方正仿宋_GBK"/>
              <w:b/>
              <w:color w:val="auto"/>
              <w:sz w:val="32"/>
              <w:szCs w:val="32"/>
              <w:lang w:val="en-US" w:eastAsia="zh-CN"/>
            </w:rPr>
            <w:fldChar w:fldCharType="end"/>
          </w:r>
        </w:p>
        <w:p>
          <w:pPr>
            <w:pStyle w:val="13"/>
            <w:tabs>
              <w:tab w:val="right" w:leader="dot" w:pos="8306"/>
            </w:tabs>
            <w:spacing w:line="240" w:lineRule="auto"/>
            <w:rPr>
              <w:rFonts w:hint="eastAsia" w:ascii="方正仿宋_GBK" w:hAnsi="方正仿宋_GBK" w:eastAsia="方正仿宋_GBK" w:cs="方正仿宋_GBK"/>
              <w:b/>
              <w:sz w:val="28"/>
              <w:szCs w:val="28"/>
            </w:rPr>
          </w:pPr>
          <w:r>
            <w:rPr>
              <w:rFonts w:hint="eastAsia" w:ascii="方正仿宋_GBK" w:hAnsi="方正仿宋_GBK" w:eastAsia="方正仿宋_GBK" w:cs="方正仿宋_GBK"/>
              <w:b/>
              <w:color w:val="auto"/>
              <w:sz w:val="32"/>
              <w:szCs w:val="32"/>
              <w:lang w:val="en-US" w:eastAsia="zh-CN"/>
            </w:rPr>
            <w:fldChar w:fldCharType="begin"/>
          </w:r>
          <w:r>
            <w:rPr>
              <w:rFonts w:hint="eastAsia" w:ascii="方正仿宋_GBK" w:hAnsi="方正仿宋_GBK" w:eastAsia="方正仿宋_GBK" w:cs="方正仿宋_GBK"/>
              <w:b/>
              <w:sz w:val="32"/>
              <w:szCs w:val="32"/>
              <w:lang w:val="en-US" w:eastAsia="zh-CN"/>
            </w:rPr>
            <w:instrText xml:space="preserve"> HYPERLINK \l _Toc20930 </w:instrText>
          </w:r>
          <w:r>
            <w:rPr>
              <w:rFonts w:hint="eastAsia" w:ascii="方正仿宋_GBK" w:hAnsi="方正仿宋_GBK" w:eastAsia="方正仿宋_GBK" w:cs="方正仿宋_GBK"/>
              <w:b/>
              <w:sz w:val="32"/>
              <w:szCs w:val="32"/>
              <w:lang w:val="en-US" w:eastAsia="zh-CN"/>
            </w:rPr>
            <w:fldChar w:fldCharType="separate"/>
          </w:r>
          <w:r>
            <w:rPr>
              <w:rFonts w:hint="eastAsia" w:ascii="方正仿宋_GBK" w:hAnsi="方正仿宋_GBK" w:eastAsia="方正仿宋_GBK" w:cs="方正仿宋_GBK"/>
              <w:b/>
              <w:bCs w:val="0"/>
              <w:sz w:val="32"/>
              <w:szCs w:val="32"/>
              <w:lang w:val="en-US" w:eastAsia="zh-CN"/>
            </w:rPr>
            <w:t>第七章 附图</w:t>
          </w:r>
          <w:r>
            <w:rPr>
              <w:rFonts w:hint="eastAsia" w:ascii="方正仿宋_GBK" w:hAnsi="方正仿宋_GBK" w:eastAsia="方正仿宋_GBK" w:cs="方正仿宋_GBK"/>
              <w:b/>
              <w:sz w:val="32"/>
              <w:szCs w:val="32"/>
            </w:rPr>
            <w:tab/>
          </w:r>
          <w:r>
            <w:rPr>
              <w:rFonts w:hint="eastAsia" w:ascii="方正仿宋_GBK" w:hAnsi="方正仿宋_GBK" w:eastAsia="方正仿宋_GBK" w:cs="方正仿宋_GBK"/>
              <w:b/>
              <w:sz w:val="32"/>
              <w:szCs w:val="32"/>
            </w:rPr>
            <w:fldChar w:fldCharType="begin"/>
          </w:r>
          <w:r>
            <w:rPr>
              <w:rFonts w:hint="eastAsia" w:ascii="方正仿宋_GBK" w:hAnsi="方正仿宋_GBK" w:eastAsia="方正仿宋_GBK" w:cs="方正仿宋_GBK"/>
              <w:b/>
              <w:sz w:val="32"/>
              <w:szCs w:val="32"/>
            </w:rPr>
            <w:instrText xml:space="preserve"> PAGEREF _Toc20930 \h </w:instrText>
          </w:r>
          <w:r>
            <w:rPr>
              <w:rFonts w:hint="eastAsia" w:ascii="方正仿宋_GBK" w:hAnsi="方正仿宋_GBK" w:eastAsia="方正仿宋_GBK" w:cs="方正仿宋_GBK"/>
              <w:b/>
              <w:sz w:val="32"/>
              <w:szCs w:val="32"/>
            </w:rPr>
            <w:fldChar w:fldCharType="separate"/>
          </w:r>
          <w:r>
            <w:rPr>
              <w:rFonts w:hint="eastAsia" w:ascii="方正仿宋_GBK" w:hAnsi="方正仿宋_GBK" w:eastAsia="方正仿宋_GBK" w:cs="方正仿宋_GBK"/>
              <w:b/>
              <w:sz w:val="32"/>
              <w:szCs w:val="32"/>
            </w:rPr>
            <w:t>53</w:t>
          </w:r>
          <w:r>
            <w:rPr>
              <w:rFonts w:hint="eastAsia" w:ascii="方正仿宋_GBK" w:hAnsi="方正仿宋_GBK" w:eastAsia="方正仿宋_GBK" w:cs="方正仿宋_GBK"/>
              <w:b/>
              <w:sz w:val="32"/>
              <w:szCs w:val="32"/>
            </w:rPr>
            <w:fldChar w:fldCharType="end"/>
          </w:r>
          <w:r>
            <w:rPr>
              <w:rFonts w:hint="eastAsia" w:ascii="方正仿宋_GBK" w:hAnsi="方正仿宋_GBK" w:eastAsia="方正仿宋_GBK" w:cs="方正仿宋_GBK"/>
              <w:b/>
              <w:color w:val="auto"/>
              <w:sz w:val="32"/>
              <w:szCs w:val="32"/>
              <w:lang w:val="en-US" w:eastAsia="zh-CN"/>
            </w:rPr>
            <w:fldChar w:fldCharType="end"/>
          </w:r>
        </w:p>
        <w:p>
          <w:pPr>
            <w:spacing w:line="560" w:lineRule="exact"/>
            <w:ind w:firstLine="562" w:firstLineChars="200"/>
            <w:jc w:val="center"/>
            <w:outlineLvl w:val="9"/>
            <w:rPr>
              <w:rFonts w:hint="eastAsia" w:ascii="黑体" w:hAnsi="黑体" w:eastAsia="黑体" w:cs="黑体"/>
              <w:color w:val="auto"/>
              <w:sz w:val="32"/>
              <w:szCs w:val="32"/>
              <w:lang w:val="en-US" w:eastAsia="zh-CN"/>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b/>
              <w:color w:val="auto"/>
              <w:sz w:val="28"/>
              <w:szCs w:val="28"/>
              <w:lang w:val="en-US" w:eastAsia="zh-CN"/>
            </w:rPr>
            <w:fldChar w:fldCharType="end"/>
          </w:r>
        </w:p>
      </w:sdtContent>
    </w:sdt>
    <w:p>
      <w:pPr>
        <w:keepNext w:val="0"/>
        <w:keepLines w:val="0"/>
        <w:pageBreakBefore w:val="0"/>
        <w:widowControl w:val="0"/>
        <w:numPr>
          <w:ilvl w:val="0"/>
          <w:numId w:val="1"/>
        </w:numPr>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bookmarkStart w:id="4" w:name="_Toc10459"/>
      <w:r>
        <w:rPr>
          <w:rFonts w:hint="eastAsia" w:ascii="方正小标宋_GBK" w:hAnsi="方正小标宋_GBK" w:eastAsia="方正小标宋_GBK" w:cs="方正小标宋_GBK"/>
          <w:snapToGrid/>
          <w:color w:val="000000"/>
          <w:kern w:val="2"/>
          <w:sz w:val="44"/>
          <w:szCs w:val="44"/>
          <w:lang w:val="en-US" w:eastAsia="zh-CN"/>
        </w:rPr>
        <w:t xml:space="preserve"> 总  则</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right="0" w:rightChars="0"/>
        <w:jc w:val="both"/>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5" w:name="_Toc9198"/>
      <w:bookmarkStart w:id="6" w:name="_Toc4204"/>
      <w:bookmarkStart w:id="7" w:name="_Toc22673"/>
      <w:bookmarkStart w:id="8" w:name="_Toc18346"/>
      <w:bookmarkStart w:id="9" w:name="_Toc5182"/>
      <w:r>
        <w:rPr>
          <w:rFonts w:hint="eastAsia" w:ascii="方正黑体_GBK" w:hAnsi="方正黑体_GBK" w:eastAsia="方正黑体_GBK" w:cs="方正黑体_GBK"/>
          <w:snapToGrid/>
          <w:color w:val="000000"/>
          <w:kern w:val="2"/>
          <w:sz w:val="32"/>
          <w:szCs w:val="32"/>
          <w:lang w:val="en-US" w:eastAsia="zh-CN"/>
        </w:rPr>
        <w:t>一、规划背景</w:t>
      </w:r>
      <w:bookmarkEnd w:id="5"/>
      <w:bookmarkEnd w:id="6"/>
      <w:bookmarkEnd w:id="7"/>
      <w:bookmarkEnd w:id="8"/>
      <w:bookmarkEnd w:id="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为加快推进青铜峡市殡葬事业发展，更好满足人民群众的殡葬服务需求，根据国务院《殡葬管理条例》、民政部、中央文明办、发改委等16部门《关于印发&lt;关于进一步推动殡葬改革促进殡葬事业发展的指导意见&gt;的通知》和《宁夏回族自治区殡葬管理办法》以及宁夏回族自治区人民政府办公厅关于转发自治区民政厅国土资源厅《关于进一步推进殡葬改革设立殡葬规划用地意见的通知》（宁政办发〔2015〕104号）文件和《关于进一步推动殡葬改革促进殡葬事业发展的实施意见》（宁民规发〔2019〕2号），满足青铜峡市50年殡葬用地需求，结合青铜峡市实际，制定本规划。本规划是指导青铜峡市殡葬事业发展的纲领性文件，重在明确政府的战略意图，引导市场主体行为，是政府履职的重要依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0" w:name="_Toc13998"/>
      <w:bookmarkStart w:id="11" w:name="_Toc16811"/>
      <w:bookmarkStart w:id="12" w:name="_Toc21161"/>
      <w:bookmarkStart w:id="13" w:name="_Toc25965"/>
      <w:bookmarkStart w:id="14" w:name="_Toc23367"/>
      <w:r>
        <w:rPr>
          <w:rFonts w:hint="eastAsia" w:ascii="方正黑体_GBK" w:hAnsi="方正黑体_GBK" w:eastAsia="方正黑体_GBK" w:cs="方正黑体_GBK"/>
          <w:snapToGrid/>
          <w:color w:val="000000"/>
          <w:kern w:val="2"/>
          <w:sz w:val="32"/>
          <w:szCs w:val="32"/>
          <w:lang w:val="en-US" w:eastAsia="zh-CN"/>
        </w:rPr>
        <w:t>二、指导思想</w:t>
      </w:r>
      <w:bookmarkEnd w:id="10"/>
      <w:bookmarkEnd w:id="11"/>
      <w:bookmarkEnd w:id="12"/>
      <w:bookmarkEnd w:id="13"/>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以习近平新时代中国特色社会主义思想和党的二十大精神为指导，全面落实习近平总书记对民政工作的重要指示精神和第十四次全国民政工作会议部署要求，在各级党委和政府统一领导下，按照公平可及、群众受益、深化改革、移风易俗、政府主导、社会参与，因地制宜、分类指导、统筹协调、综合治理的原则，全面推进殡葬改革，促进青铜峡市殡葬事业健康有序发展。创新治理方式，健全基本殡葬公共服务体系。将惠民、绿色、文明殡葬纳入自治区生态战略发展中，不断推动殡葬工作更好的服务于保障和改善民生，确保人人能够享有公益性基本殡葬服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5" w:name="_Toc22499"/>
      <w:bookmarkStart w:id="16" w:name="_Toc14762"/>
      <w:r>
        <w:rPr>
          <w:rFonts w:hint="eastAsia" w:ascii="方正黑体_GBK" w:hAnsi="方正黑体_GBK" w:eastAsia="方正黑体_GBK" w:cs="方正黑体_GBK"/>
          <w:snapToGrid/>
          <w:color w:val="000000"/>
          <w:kern w:val="2"/>
          <w:sz w:val="32"/>
          <w:szCs w:val="32"/>
          <w:lang w:val="en-US" w:eastAsia="zh-CN"/>
        </w:rPr>
        <w:t>三、规划原则</w:t>
      </w:r>
      <w:bookmarkEnd w:id="15"/>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32"/>
          <w:szCs w:val="32"/>
          <w:lang w:val="en-US" w:eastAsia="zh-CN" w:bidi="ar-SA"/>
          <w14:textFill>
            <w14:solidFill>
              <w14:schemeClr w14:val="tx1"/>
            </w14:solidFill>
          </w14:textFill>
        </w:rPr>
        <w:t>（一）统筹规划，引领发展</w:t>
      </w:r>
      <w:r>
        <w:rPr>
          <w:rStyle w:val="11"/>
          <w:rFonts w:hint="eastAsia" w:ascii="仿宋_GB2312" w:hAnsi="仿宋_GB2312" w:eastAsia="仿宋_GB2312" w:cstheme="minorBidi"/>
          <w:b/>
          <w:bCs/>
          <w:i w:val="0"/>
          <w:caps w:val="0"/>
          <w:spacing w:val="0"/>
          <w:w w:val="100"/>
          <w:kern w:val="2"/>
          <w:sz w:val="32"/>
          <w:szCs w:val="32"/>
          <w:lang w:val="en-US" w:eastAsia="zh-CN" w:bidi="ar-SA"/>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按照坚定不移推行火葬、积极改革土葬、统筹推进丧葬习俗改革总要求，丰富和完善殡葬服务供给；重点完善殡葬设施空白区域规划，优化调整殡葬资源结构，确保殡葬设施合理布局，形成统筹配套、保障有力的规划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32"/>
          <w:szCs w:val="32"/>
          <w:lang w:val="en-US" w:eastAsia="zh-CN" w:bidi="ar-SA"/>
          <w14:textFill>
            <w14:solidFill>
              <w14:schemeClr w14:val="tx1"/>
            </w14:solidFill>
          </w14:textFill>
        </w:rPr>
        <w:t>（二）分层分类，功能完备</w:t>
      </w:r>
      <w:r>
        <w:rPr>
          <w:rStyle w:val="11"/>
          <w:rFonts w:hint="eastAsia" w:ascii="仿宋_GB2312" w:hAnsi="仿宋_GB2312" w:eastAsia="仿宋_GB2312" w:cstheme="minorBidi"/>
          <w:b/>
          <w:bCs/>
          <w:i w:val="0"/>
          <w:caps w:val="0"/>
          <w:spacing w:val="0"/>
          <w:w w:val="100"/>
          <w:kern w:val="2"/>
          <w:sz w:val="32"/>
          <w:szCs w:val="32"/>
          <w:lang w:val="en-US" w:eastAsia="zh-CN" w:bidi="ar-SA"/>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结合人口分布和土地资源情况，紧扣城乡发展趋势，殡葬服务设施建设一体化、系统化、集中化理念，合理规划殡仪服务设施（火化设施）、安葬设施建设布局，确保殡葬服务功能完备，覆盖全域。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32"/>
          <w:szCs w:val="32"/>
          <w:lang w:val="en-US" w:eastAsia="zh-CN" w:bidi="ar-SA"/>
          <w14:textFill>
            <w14:solidFill>
              <w14:schemeClr w14:val="tx1"/>
            </w14:solidFill>
          </w14:textFill>
        </w:rPr>
        <w:t>（三）节约生态，文明绿色</w:t>
      </w:r>
      <w:r>
        <w:rPr>
          <w:rStyle w:val="11"/>
          <w:rFonts w:hint="eastAsia" w:ascii="仿宋_GB2312" w:hAnsi="仿宋_GB2312" w:eastAsia="仿宋_GB2312" w:cstheme="minorBidi"/>
          <w:b/>
          <w:bCs/>
          <w:i w:val="0"/>
          <w:caps w:val="0"/>
          <w:spacing w:val="0"/>
          <w:w w:val="100"/>
          <w:kern w:val="2"/>
          <w:sz w:val="32"/>
          <w:szCs w:val="32"/>
          <w:lang w:val="en-US" w:eastAsia="zh-CN" w:bidi="ar-SA"/>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落实落细“生态保护红线、环境质量底线、资源利用上线和生态准入清单”要求，最大限度利用荒山荒坡、不宜耕种的瘠地、废弃地规划建设殡葬设施，充分考虑推行节地生态安葬需要，在殡仪馆、公墓内配套建设骨灰堂、节地生态安葬设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32"/>
          <w:szCs w:val="32"/>
          <w:lang w:val="en-US" w:eastAsia="zh-CN" w:bidi="ar-SA"/>
          <w14:textFill>
            <w14:solidFill>
              <w14:schemeClr w14:val="tx1"/>
            </w14:solidFill>
          </w14:textFill>
        </w:rPr>
        <w:t>（四）以人为本，公益惠民</w:t>
      </w:r>
      <w:r>
        <w:rPr>
          <w:rStyle w:val="11"/>
          <w:rFonts w:hint="eastAsia" w:ascii="仿宋_GB2312" w:hAnsi="仿宋_GB2312" w:eastAsia="仿宋_GB2312" w:cstheme="minorBidi"/>
          <w:b/>
          <w:bCs/>
          <w:i w:val="0"/>
          <w:caps w:val="0"/>
          <w:spacing w:val="0"/>
          <w:w w:val="100"/>
          <w:kern w:val="2"/>
          <w:sz w:val="32"/>
          <w:szCs w:val="32"/>
          <w:lang w:val="en-US" w:eastAsia="zh-CN" w:bidi="ar-SA"/>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坚持以人民为中心，重点完善殡仪馆、骨灰堂、公益性公墓（墓地）等基本殡葬公共服务设施，拓宽服务领域，提升服务水平，在保障群众基本殡葬需求基础上，满足群众殡葬服务需求。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32"/>
          <w:szCs w:val="32"/>
          <w:lang w:val="en-US" w:eastAsia="zh-CN" w:bidi="ar-SA"/>
          <w14:textFill>
            <w14:solidFill>
              <w14:schemeClr w14:val="tx1"/>
            </w14:solidFill>
          </w14:textFill>
        </w:rPr>
        <w:t>（五）统筹协调，综合治理</w:t>
      </w:r>
      <w:r>
        <w:rPr>
          <w:rStyle w:val="11"/>
          <w:rFonts w:hint="eastAsia" w:ascii="仿宋_GB2312" w:hAnsi="仿宋_GB2312" w:eastAsia="仿宋_GB2312" w:cstheme="minorBidi"/>
          <w:b/>
          <w:bCs/>
          <w:i w:val="0"/>
          <w:caps w:val="0"/>
          <w:spacing w:val="0"/>
          <w:w w:val="100"/>
          <w:kern w:val="2"/>
          <w:sz w:val="32"/>
          <w:szCs w:val="32"/>
          <w:lang w:val="en-US" w:eastAsia="zh-CN" w:bidi="ar-SA"/>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坚持党委和政府统一领导，强化发改、民政、自然资源、市场监管等部门行业监管职责，完善部门协同监管机制，加强基层工作力量，建立健全组织有力、责任明确、协调顺畅的领导体制和工作机制。发挥党委统筹、政府主管、行业部门监管、经营单位自律、群众和社会监督等作用，创新监管手段和治理方式，实现政府、社会、市场优势互补、良性互动，形成监管合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32"/>
          <w:szCs w:val="32"/>
          <w:lang w:val="en-US" w:eastAsia="zh-CN" w:bidi="ar-SA"/>
          <w14:textFill>
            <w14:solidFill>
              <w14:schemeClr w14:val="tx1"/>
            </w14:solidFill>
          </w14:textFill>
        </w:rPr>
        <w:t>（六）推行节地生态葬，节约土地资源</w:t>
      </w:r>
      <w:r>
        <w:rPr>
          <w:rStyle w:val="11"/>
          <w:rFonts w:hint="eastAsia" w:ascii="仿宋_GB2312" w:hAnsi="仿宋_GB2312" w:eastAsia="仿宋_GB2312" w:cstheme="minorBidi"/>
          <w:b/>
          <w:bCs/>
          <w:i w:val="0"/>
          <w:caps w:val="0"/>
          <w:spacing w:val="0"/>
          <w:w w:val="100"/>
          <w:kern w:val="2"/>
          <w:sz w:val="32"/>
          <w:szCs w:val="32"/>
          <w:lang w:val="en-US" w:eastAsia="zh-CN" w:bidi="ar-SA"/>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以国土空间总体规划为前提，人与自然和谐发展为目标，凸显取用适度、资源节约、环境良好和可持续发展原则，大力推广树葬、花坛葬、草坪葬等节地生态安葬方式，禁止擅自建设殡葬设施，节约土地资源。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000000" w:themeColor="text1"/>
          <w:kern w:val="2"/>
          <w:sz w:val="32"/>
          <w:szCs w:val="32"/>
          <w:lang w:val="en-US" w:eastAsia="zh-CN" w:bidi="ar-SA"/>
          <w14:textFill>
            <w14:solidFill>
              <w14:schemeClr w14:val="tx1"/>
            </w14:solidFill>
          </w14:textFill>
        </w:rPr>
        <w:t>（七）科学评估，防范风险</w:t>
      </w:r>
      <w:r>
        <w:rPr>
          <w:rStyle w:val="11"/>
          <w:rFonts w:hint="eastAsia" w:ascii="仿宋_GB2312" w:hAnsi="仿宋_GB2312" w:eastAsia="仿宋_GB2312" w:cstheme="minorBidi"/>
          <w:b/>
          <w:bCs/>
          <w:i w:val="0"/>
          <w:caps w:val="0"/>
          <w:spacing w:val="0"/>
          <w:w w:val="100"/>
          <w:kern w:val="2"/>
          <w:sz w:val="32"/>
          <w:szCs w:val="32"/>
          <w:lang w:val="en-US" w:eastAsia="zh-CN" w:bidi="ar-SA"/>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认真贯彻执行殡葬政策法规，充分考虑传统习俗，广泛征询群众意见，科学评估规划发展的可行性，并积极稳妥处置历史遗留墓地用地问题，有效防范化解风险隐患。</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7" w:name="_Toc31"/>
      <w:bookmarkStart w:id="18" w:name="_Toc4337"/>
      <w:r>
        <w:rPr>
          <w:rFonts w:hint="eastAsia" w:ascii="方正黑体_GBK" w:hAnsi="方正黑体_GBK" w:eastAsia="方正黑体_GBK" w:cs="方正黑体_GBK"/>
          <w:snapToGrid/>
          <w:color w:val="000000"/>
          <w:kern w:val="2"/>
          <w:sz w:val="32"/>
          <w:szCs w:val="32"/>
          <w:lang w:val="en-US" w:eastAsia="zh-CN"/>
        </w:rPr>
        <w:t>四、规划范围</w:t>
      </w:r>
      <w:bookmarkEnd w:id="17"/>
      <w:bookmarkEnd w:id="18"/>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青铜峡市全域范围包括小坝镇、大坝镇、青铜峡镇、叶盛镇、瞿靖镇、峡口镇、邵岗镇、陈袁滩镇、裕民街道、树新林场、良繁场，共8镇2场1街道。2022年末，全市户籍总人口272705人，其中：汉族及其他人口205794人，占总人口的75%；回族人口66911人，占总人口的25%。全市总面积约1818.23平方公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9" w:name="_Toc26717"/>
      <w:bookmarkStart w:id="20" w:name="_Toc10238"/>
      <w:bookmarkStart w:id="21" w:name="_Toc29845"/>
      <w:bookmarkStart w:id="22" w:name="_Toc24923"/>
      <w:bookmarkStart w:id="23" w:name="_Toc22571"/>
      <w:bookmarkStart w:id="24" w:name="_Toc31038"/>
      <w:r>
        <w:rPr>
          <w:rFonts w:hint="eastAsia" w:ascii="方正黑体_GBK" w:hAnsi="方正黑体_GBK" w:eastAsia="方正黑体_GBK" w:cs="方正黑体_GBK"/>
          <w:snapToGrid/>
          <w:color w:val="000000"/>
          <w:kern w:val="2"/>
          <w:sz w:val="32"/>
          <w:szCs w:val="32"/>
          <w:lang w:val="en-US" w:eastAsia="zh-CN"/>
        </w:rPr>
        <w:t>五、规划内容</w:t>
      </w:r>
      <w:bookmarkEnd w:id="19"/>
      <w:bookmarkEnd w:id="20"/>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（一）</w:t>
      </w:r>
      <w:r>
        <w:rPr>
          <w:rFonts w:hint="eastAsia" w:ascii="方正仿宋_GBK" w:hAnsi="方正仿宋_GBK" w:eastAsia="方正仿宋_GBK" w:cs="方正仿宋_GBK"/>
          <w:color w:val="auto"/>
          <w:kern w:val="2"/>
          <w:sz w:val="32"/>
          <w:szCs w:val="32"/>
          <w:lang w:val="en-US" w:eastAsia="zh-CN" w:bidi="ar-SA"/>
        </w:rPr>
        <w:t>对全市的殡葬设施现状情况进行深入调查和分析；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（二）</w:t>
      </w:r>
      <w:r>
        <w:rPr>
          <w:rFonts w:hint="eastAsia" w:ascii="方正仿宋_GBK" w:hAnsi="方正仿宋_GBK" w:eastAsia="方正仿宋_GBK" w:cs="方正仿宋_GBK"/>
          <w:color w:val="auto"/>
          <w:kern w:val="2"/>
          <w:sz w:val="32"/>
          <w:szCs w:val="32"/>
          <w:lang w:val="en-US" w:eastAsia="zh-CN" w:bidi="ar-SA"/>
        </w:rPr>
        <w:t>对全市的公墓、殡葬设施用地情况提出规划意见；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黑体" w:hAnsi="黑体" w:eastAsia="黑体" w:cs="黑体"/>
          <w:color w:val="auto"/>
          <w:sz w:val="32"/>
          <w:szCs w:val="32"/>
          <w:lang w:val="en-US" w:eastAsia="zh-CN"/>
        </w:rPr>
      </w:pPr>
      <w:r>
        <w:rPr>
          <w:rFonts w:hint="eastAsia" w:ascii="方正仿宋_GBK" w:hAnsi="方正仿宋_GBK" w:eastAsia="方正仿宋_GBK" w:cs="方正仿宋_GBK"/>
          <w:b/>
          <w:bCs/>
          <w:color w:val="auto"/>
          <w:kern w:val="2"/>
          <w:sz w:val="32"/>
          <w:szCs w:val="32"/>
          <w:lang w:val="en-US" w:eastAsia="zh-CN" w:bidi="ar-SA"/>
        </w:rPr>
        <w:t>（三）</w:t>
      </w:r>
      <w:r>
        <w:rPr>
          <w:rFonts w:hint="eastAsia" w:ascii="方正仿宋_GBK" w:hAnsi="方正仿宋_GBK" w:eastAsia="方正仿宋_GBK" w:cs="方正仿宋_GBK"/>
          <w:color w:val="auto"/>
          <w:kern w:val="2"/>
          <w:sz w:val="32"/>
          <w:szCs w:val="32"/>
          <w:highlight w:val="none"/>
          <w:lang w:val="en-US" w:eastAsia="zh-CN" w:bidi="ar-SA"/>
        </w:rPr>
        <w:t>对全市的殡葬发展规划定位提出意见。</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25" w:name="_Toc12994"/>
      <w:bookmarkStart w:id="26" w:name="_Toc11950"/>
      <w:r>
        <w:rPr>
          <w:rFonts w:hint="eastAsia" w:ascii="方正黑体_GBK" w:hAnsi="方正黑体_GBK" w:eastAsia="方正黑体_GBK" w:cs="方正黑体_GBK"/>
          <w:snapToGrid/>
          <w:color w:val="000000"/>
          <w:kern w:val="2"/>
          <w:sz w:val="32"/>
          <w:szCs w:val="32"/>
          <w:lang w:val="en-US" w:eastAsia="zh-CN"/>
        </w:rPr>
        <w:t>六、规划期限</w:t>
      </w:r>
      <w:bookmarkEnd w:id="22"/>
      <w:bookmarkEnd w:id="23"/>
      <w:bookmarkEnd w:id="24"/>
      <w:bookmarkEnd w:id="25"/>
      <w:bookmarkEnd w:id="26"/>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（一）</w:t>
      </w:r>
      <w:r>
        <w:rPr>
          <w:rFonts w:hint="eastAsia" w:ascii="方正仿宋_GBK" w:hAnsi="方正仿宋_GBK" w:eastAsia="方正仿宋_GBK" w:cs="方正仿宋_GBK"/>
          <w:color w:val="auto"/>
          <w:kern w:val="2"/>
          <w:sz w:val="32"/>
          <w:szCs w:val="32"/>
          <w:lang w:val="en-US" w:eastAsia="zh-CN" w:bidi="ar-SA"/>
        </w:rPr>
        <w:t>近期规划为2023-2027年，5年；</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（二）</w:t>
      </w:r>
      <w:r>
        <w:rPr>
          <w:rFonts w:hint="eastAsia" w:ascii="方正仿宋_GBK" w:hAnsi="方正仿宋_GBK" w:eastAsia="方正仿宋_GBK" w:cs="方正仿宋_GBK"/>
          <w:color w:val="auto"/>
          <w:kern w:val="2"/>
          <w:sz w:val="32"/>
          <w:szCs w:val="32"/>
          <w:lang w:val="en-US" w:eastAsia="zh-CN" w:bidi="ar-SA"/>
        </w:rPr>
        <w:t>远期规划为2028-2035年，8年；</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（三）</w:t>
      </w:r>
      <w:r>
        <w:rPr>
          <w:rFonts w:hint="eastAsia" w:ascii="方正仿宋_GBK" w:hAnsi="方正仿宋_GBK" w:eastAsia="方正仿宋_GBK" w:cs="方正仿宋_GBK"/>
          <w:color w:val="auto"/>
          <w:kern w:val="2"/>
          <w:sz w:val="32"/>
          <w:szCs w:val="32"/>
          <w:lang w:val="en-US" w:eastAsia="zh-CN" w:bidi="ar-SA"/>
        </w:rPr>
        <w:t>远景展望50年，至2072年。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27" w:name="_Toc6250"/>
      <w:bookmarkStart w:id="28" w:name="_Toc1271"/>
      <w:bookmarkStart w:id="29" w:name="_Toc28852"/>
      <w:bookmarkStart w:id="30" w:name="_Toc22776"/>
      <w:bookmarkStart w:id="31" w:name="_Toc29914"/>
      <w:r>
        <w:rPr>
          <w:rFonts w:hint="eastAsia" w:ascii="方正黑体_GBK" w:hAnsi="方正黑体_GBK" w:eastAsia="方正黑体_GBK" w:cs="方正黑体_GBK"/>
          <w:snapToGrid/>
          <w:color w:val="000000"/>
          <w:kern w:val="2"/>
          <w:sz w:val="32"/>
          <w:szCs w:val="32"/>
          <w:lang w:val="en-US" w:eastAsia="zh-CN"/>
        </w:rPr>
        <w:t>七、目标任务</w:t>
      </w:r>
      <w:bookmarkEnd w:id="27"/>
      <w:bookmarkEnd w:id="28"/>
      <w:bookmarkEnd w:id="29"/>
      <w:bookmarkEnd w:id="30"/>
      <w:bookmarkEnd w:id="3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（一）</w:t>
      </w:r>
      <w:r>
        <w:rPr>
          <w:rFonts w:hint="eastAsia" w:ascii="方正仿宋_GBK" w:hAnsi="方正仿宋_GBK" w:eastAsia="方正仿宋_GBK" w:cs="方正仿宋_GBK"/>
          <w:color w:val="auto"/>
          <w:kern w:val="2"/>
          <w:sz w:val="32"/>
          <w:szCs w:val="32"/>
          <w:lang w:val="en-US" w:eastAsia="zh-CN" w:bidi="ar-SA"/>
        </w:rPr>
        <w:t>加强公益性公墓基础设施建设，规范经营性公墓管理，降低公墓价格，逐步实现死亡人口集中进入政府批准建设的公墓内安葬，乱埋乱葬势头得到遏制。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（二）</w:t>
      </w:r>
      <w:r>
        <w:rPr>
          <w:rFonts w:hint="eastAsia" w:ascii="方正仿宋_GBK" w:hAnsi="方正仿宋_GBK" w:eastAsia="方正仿宋_GBK" w:cs="方正仿宋_GBK"/>
          <w:color w:val="auto"/>
          <w:kern w:val="2"/>
          <w:sz w:val="32"/>
          <w:szCs w:val="32"/>
          <w:lang w:val="en-US" w:eastAsia="zh-CN" w:bidi="ar-SA"/>
        </w:rPr>
        <w:t>根据青铜峡市死亡人口数量和殡葬用地现状，科学精准测算年度公墓安葬用地量，坚持5年开发期限，按照规划，有序向公墓公司供地，节约土地资源，保障50年的殡葬用地需求。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（三）改革土葬、倡导火葬。</w:t>
      </w:r>
      <w:r>
        <w:rPr>
          <w:rFonts w:hint="eastAsia" w:ascii="方正仿宋_GBK" w:hAnsi="方正仿宋_GBK" w:eastAsia="方正仿宋_GBK" w:cs="方正仿宋_GBK"/>
          <w:color w:val="auto"/>
          <w:kern w:val="2"/>
          <w:sz w:val="32"/>
          <w:szCs w:val="32"/>
          <w:lang w:val="en-US" w:eastAsia="zh-CN" w:bidi="ar-SA"/>
        </w:rPr>
        <w:t>加强移风易俗宣传力度，积极引导群众丧事简办、新办，积极引导群众改革土葬、倡导火葬，有序开展遗体（骨灰）树葬、草坪葬、不留坟头等节地生态葬法。到2040年火葬率达到10%以上，2072年火葬率达到60%以上，已开发使用的殡葬规划用地绿化覆盖率达到30%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（四）规范公墓管理，健全奖励机制。</w:t>
      </w:r>
      <w:r>
        <w:rPr>
          <w:rFonts w:hint="eastAsia" w:ascii="方正仿宋_GBK" w:hAnsi="方正仿宋_GBK" w:eastAsia="方正仿宋_GBK" w:cs="方正仿宋_GBK"/>
          <w:color w:val="auto"/>
          <w:kern w:val="2"/>
          <w:sz w:val="32"/>
          <w:szCs w:val="32"/>
          <w:lang w:val="en-US" w:eastAsia="zh-CN" w:bidi="ar-SA"/>
        </w:rPr>
        <w:t>进一步规范经营性公墓用地程序合法，经营性公墓及殡葬设施用地由市人民政府采取招拍挂方式供地；公益性公墓及殡葬设施用地采取划拨方式，由市人民政府供地。</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（五）健全殡葬管理制度。</w:t>
      </w:r>
      <w:r>
        <w:rPr>
          <w:rFonts w:hint="eastAsia" w:ascii="方正仿宋_GBK" w:hAnsi="方正仿宋_GBK" w:eastAsia="方正仿宋_GBK" w:cs="方正仿宋_GBK"/>
          <w:color w:val="auto"/>
          <w:kern w:val="2"/>
          <w:sz w:val="32"/>
          <w:szCs w:val="32"/>
          <w:lang w:val="en-US" w:eastAsia="zh-CN" w:bidi="ar-SA"/>
        </w:rPr>
        <w:t>包括殡葬管理办法、惠民殡葬、节地生态葬及各项奖惩等相关制度。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32" w:name="_Toc28253"/>
      <w:bookmarkStart w:id="33" w:name="_Toc6499"/>
      <w:r>
        <w:rPr>
          <w:rFonts w:hint="eastAsia" w:ascii="方正黑体_GBK" w:hAnsi="方正黑体_GBK" w:eastAsia="方正黑体_GBK" w:cs="方正黑体_GBK"/>
          <w:snapToGrid/>
          <w:color w:val="000000"/>
          <w:kern w:val="2"/>
          <w:sz w:val="32"/>
          <w:szCs w:val="32"/>
          <w:lang w:val="en-US" w:eastAsia="zh-CN"/>
        </w:rPr>
        <w:t>八、规划依据</w:t>
      </w:r>
      <w:bookmarkEnd w:id="32"/>
      <w:bookmarkEnd w:id="33"/>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（一）</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《中华人民共和国土地管理法》（2020年1月1日）；</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（二）</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《中华人民共和国城乡规划法》（2019年4月23日）；</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（三）</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《中华人民共和国环境保护法》（2015年1月1日）；</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（四）《</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中华人民共和国大气污染防治法》（2016年1月1日）；</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0" w:firstLineChars="200"/>
        <w:jc w:val="left"/>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（五） 《国务院殡葬管理条例》（2022年5月30日修订）；</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lang w:val="en-US" w:eastAsia="zh-CN" w:bidi="ar-SA"/>
        </w:rPr>
        <w:t>（六）</w:t>
      </w:r>
      <w:r>
        <w:rPr>
          <w:rFonts w:hint="eastAsia" w:ascii="方正仿宋_GBK" w:hAnsi="方正仿宋_GBK" w:eastAsia="方正仿宋_GBK" w:cs="方正仿宋_GBK"/>
          <w:color w:val="auto"/>
          <w:kern w:val="2"/>
          <w:sz w:val="32"/>
          <w:szCs w:val="32"/>
          <w:highlight w:val="none"/>
          <w:lang w:val="en-US" w:eastAsia="zh-CN" w:bidi="ar-SA"/>
        </w:rPr>
        <w:t>国务院印发《关于积极推进“互联网+”行动的指导意见》（国发〔2015〕40号）；</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（七）</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中共中央办公厅国务院办公厅印发《关于党员干部带头推动殡葬改革的意见》的通知（中办发</w:t>
      </w:r>
      <w:r>
        <w:rPr>
          <w:rFonts w:hint="eastAsia" w:ascii="方正仿宋_GBK" w:hAnsi="方正仿宋_GBK" w:eastAsia="方正仿宋_GBK" w:cs="方正仿宋_GBK"/>
          <w:color w:val="auto"/>
          <w:kern w:val="2"/>
          <w:sz w:val="32"/>
          <w:szCs w:val="32"/>
          <w:highlight w:val="none"/>
          <w:lang w:val="en-US" w:eastAsia="zh-CN" w:bidi="ar-SA"/>
        </w:rPr>
        <w:t>〔2013〕</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23号）；</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default"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（八）</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国家发展改革委等部门关于印发《“十四五”时期社会服务设施建设支持工程实施方案》的通知（发改社会</w:t>
      </w:r>
      <w:r>
        <w:rPr>
          <w:rFonts w:hint="eastAsia" w:ascii="方正仿宋_GBK" w:hAnsi="方正仿宋_GBK" w:eastAsia="方正仿宋_GBK" w:cs="方正仿宋_GBK"/>
          <w:color w:val="auto"/>
          <w:kern w:val="2"/>
          <w:sz w:val="32"/>
          <w:szCs w:val="32"/>
          <w:highlight w:val="none"/>
          <w:lang w:val="en-US" w:eastAsia="zh-CN" w:bidi="ar-SA"/>
        </w:rPr>
        <w:t>〔2023〕</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294号）；</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（九）</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民政部印发《关于全面推行惠民殡葬政策的指导意见》（2012年12月）；</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（十）</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民政部等9部委《关于推行节地生态安葬的指导</w:t>
      </w:r>
      <w:r>
        <w:rPr>
          <w:rFonts w:hint="eastAsia" w:ascii="方正仿宋_GBK" w:hAnsi="方正仿宋_GBK" w:eastAsia="方正仿宋_GBK" w:cs="方正仿宋_GBK"/>
          <w:color w:val="auto"/>
          <w:kern w:val="2"/>
          <w:sz w:val="32"/>
          <w:szCs w:val="32"/>
          <w:highlight w:val="none"/>
          <w:lang w:val="en-US" w:eastAsia="zh-CN" w:bidi="ar-SA"/>
        </w:rPr>
        <w:t>意见》（民发</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〔20</w:t>
      </w:r>
      <w:r>
        <w:rPr>
          <w:rFonts w:hint="eastAsia" w:ascii="方正仿宋_GBK" w:hAnsi="方正仿宋_GBK" w:eastAsia="方正仿宋_GBK" w:cs="方正仿宋_GBK"/>
          <w:color w:val="auto"/>
          <w:kern w:val="2"/>
          <w:sz w:val="32"/>
          <w:szCs w:val="32"/>
          <w:highlight w:val="none"/>
          <w:lang w:val="en-US" w:eastAsia="zh-CN" w:bidi="ar-SA"/>
        </w:rPr>
        <w:t>16〕</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21号）；</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（十一）</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国家住房和城乡建设部、国家发展改革委《殡仪馆建设标准》（建标181-2017）；</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（十二）</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国家住房和城乡建设部、国家发展改革委《城市公益性公墓建设标准》（建标182-2017）；</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（十三）</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民政部、中央文明办、发展改革委等16部门关于印发《关于进一步推动殡葬改革促进殡葬事业发展的指导意见的通知》（民发</w:t>
      </w:r>
      <w:r>
        <w:rPr>
          <w:rFonts w:hint="eastAsia" w:ascii="方正仿宋_GBK" w:hAnsi="方正仿宋_GBK" w:eastAsia="方正仿宋_GBK" w:cs="方正仿宋_GBK"/>
          <w:color w:val="auto"/>
          <w:kern w:val="2"/>
          <w:sz w:val="32"/>
          <w:szCs w:val="32"/>
          <w:highlight w:val="none"/>
          <w:lang w:val="en-US" w:eastAsia="zh-CN" w:bidi="ar-SA"/>
        </w:rPr>
        <w:t>〔2018〕</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5号）；</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（十四）</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《宁夏回族自治区殡葬管理办法》（2021年8月20日）；</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default"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b/>
          <w:bCs/>
          <w:color w:val="auto"/>
          <w:kern w:val="2"/>
          <w:sz w:val="32"/>
          <w:szCs w:val="32"/>
          <w:lang w:val="en-US" w:eastAsia="zh-CN" w:bidi="ar-SA"/>
        </w:rPr>
        <w:t>（十五）</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自治区民政厅 国土资源厅《关于进一步推进殡葬改革设立殡葬规划用地意见的通知》（宁政办发</w:t>
      </w:r>
      <w:r>
        <w:rPr>
          <w:rFonts w:hint="eastAsia" w:ascii="方正仿宋_GBK" w:hAnsi="方正仿宋_GBK" w:eastAsia="方正仿宋_GBK" w:cs="方正仿宋_GBK"/>
          <w:color w:val="auto"/>
          <w:kern w:val="2"/>
          <w:sz w:val="32"/>
          <w:szCs w:val="32"/>
          <w:highlight w:val="none"/>
          <w:lang w:val="en-US" w:eastAsia="zh-CN" w:bidi="ar-SA"/>
        </w:rPr>
        <w:t>〔2015〕</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104号）；</w:t>
      </w:r>
    </w:p>
    <w:p>
      <w:pPr>
        <w:keepNext w:val="0"/>
        <w:keepLines w:val="0"/>
        <w:pageBreakBefore w:val="0"/>
        <w:widowControl w:val="0"/>
        <w:kinsoku/>
        <w:wordWrap/>
        <w:overflowPunct/>
        <w:topLinePunct w:val="0"/>
        <w:autoSpaceDE/>
        <w:autoSpaceDN/>
        <w:bidi w:val="0"/>
        <w:adjustRightInd/>
        <w:snapToGrid/>
        <w:spacing w:line="560" w:lineRule="exact"/>
        <w:ind w:left="105" w:leftChars="50" w:firstLine="643" w:firstLineChars="200"/>
        <w:textAlignment w:val="auto"/>
        <w:rPr>
          <w:rFonts w:hint="default"/>
          <w:highlight w:val="none"/>
          <w:lang w:val="en-US" w:eastAsia="zh-CN"/>
        </w:rPr>
      </w:pPr>
      <w:r>
        <w:rPr>
          <w:rFonts w:hint="eastAsia" w:ascii="方正仿宋_GBK" w:hAnsi="方正仿宋_GBK" w:eastAsia="方正仿宋_GBK" w:cs="方正仿宋_GBK"/>
          <w:b/>
          <w:bCs/>
          <w:color w:val="auto"/>
          <w:kern w:val="2"/>
          <w:sz w:val="32"/>
          <w:szCs w:val="32"/>
          <w:lang w:val="en-US" w:eastAsia="zh-CN" w:bidi="ar-SA"/>
        </w:rPr>
        <w:t>（十六）</w:t>
      </w:r>
      <w:r>
        <w:rPr>
          <w:rFonts w:hint="eastAsia" w:ascii="方正仿宋_GBK" w:hAnsi="方正仿宋_GBK" w:eastAsia="方正仿宋_GBK" w:cs="方正仿宋_GBK"/>
          <w:color w:val="auto"/>
          <w:kern w:val="2"/>
          <w:sz w:val="32"/>
          <w:szCs w:val="32"/>
          <w:highlight w:val="none"/>
          <w:lang w:val="en-US" w:eastAsia="zh-CN" w:bidi="ar-SA"/>
        </w:rPr>
        <w:t>宁夏回族自治区民政厅《关于开展殡葬设施建设规划编制工作的通知》；</w:t>
      </w:r>
    </w:p>
    <w:p>
      <w:pPr>
        <w:pStyle w:val="5"/>
        <w:keepNext w:val="0"/>
        <w:keepLines w:val="0"/>
        <w:pageBreakBefore w:val="0"/>
        <w:widowControl w:val="0"/>
        <w:kinsoku/>
        <w:wordWrap/>
        <w:overflowPunct/>
        <w:topLinePunct w:val="0"/>
        <w:autoSpaceDE/>
        <w:autoSpaceDN/>
        <w:bidi w:val="0"/>
        <w:adjustRightInd/>
        <w:snapToGrid w:val="0"/>
        <w:spacing w:line="560" w:lineRule="exact"/>
        <w:ind w:left="105" w:leftChars="50" w:firstLine="643" w:firstLineChars="200"/>
        <w:jc w:val="left"/>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lang w:val="en-US" w:eastAsia="zh-CN" w:bidi="ar-SA"/>
        </w:rPr>
        <w:t>（十七）</w:t>
      </w:r>
      <w:r>
        <w:rPr>
          <w:rFonts w:hint="eastAsia" w:ascii="方正仿宋_GBK" w:hAnsi="方正仿宋_GBK" w:eastAsia="方正仿宋_GBK" w:cs="方正仿宋_GBK"/>
          <w:color w:val="auto"/>
          <w:kern w:val="2"/>
          <w:sz w:val="32"/>
          <w:szCs w:val="32"/>
          <w:highlight w:val="none"/>
          <w:lang w:val="en-US" w:eastAsia="zh-CN" w:bidi="ar-SA"/>
        </w:rPr>
        <w:t>民政部、自治区及青铜峡市其他有关法律法规、政策文件、统计资料等。</w:t>
      </w:r>
    </w:p>
    <w:p>
      <w:r>
        <w:br w:type="page"/>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bookmarkStart w:id="34" w:name="_Toc6001"/>
      <w:bookmarkStart w:id="35" w:name="_Toc31176"/>
      <w:bookmarkStart w:id="36" w:name="_Toc498"/>
      <w:bookmarkStart w:id="37" w:name="_Toc8162"/>
      <w:bookmarkStart w:id="38" w:name="_Toc26829"/>
      <w:r>
        <w:rPr>
          <w:rFonts w:hint="eastAsia" w:ascii="方正小标宋_GBK" w:hAnsi="方正小标宋_GBK" w:eastAsia="方正小标宋_GBK" w:cs="方正小标宋_GBK"/>
          <w:snapToGrid/>
          <w:color w:val="000000"/>
          <w:kern w:val="2"/>
          <w:sz w:val="44"/>
          <w:szCs w:val="44"/>
          <w:lang w:val="en-US" w:eastAsia="zh-CN"/>
        </w:rPr>
        <w:t xml:space="preserve"> 殡葬用地现状</w:t>
      </w:r>
      <w:bookmarkEnd w:id="34"/>
      <w:bookmarkEnd w:id="35"/>
      <w:bookmarkEnd w:id="36"/>
      <w:bookmarkEnd w:id="37"/>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right="0" w:rightChars="0"/>
        <w:jc w:val="both"/>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39" w:name="_Toc4130"/>
      <w:bookmarkStart w:id="40" w:name="_Toc6986"/>
      <w:bookmarkStart w:id="41" w:name="_Toc29205"/>
      <w:bookmarkStart w:id="42" w:name="_Toc691"/>
      <w:bookmarkStart w:id="43" w:name="_Toc7266"/>
      <w:bookmarkStart w:id="44" w:name="_Toc22688"/>
      <w:bookmarkStart w:id="45" w:name="_Toc14290"/>
      <w:bookmarkStart w:id="46" w:name="_Toc2123"/>
      <w:bookmarkStart w:id="47" w:name="_Toc25471"/>
      <w:r>
        <w:rPr>
          <w:rFonts w:hint="eastAsia" w:ascii="方正黑体_GBK" w:hAnsi="方正黑体_GBK" w:eastAsia="方正黑体_GBK" w:cs="方正黑体_GBK"/>
          <w:snapToGrid/>
          <w:color w:val="000000"/>
          <w:kern w:val="2"/>
          <w:sz w:val="32"/>
          <w:szCs w:val="32"/>
          <w:lang w:val="en-US" w:eastAsia="zh-CN"/>
        </w:rPr>
        <w:t>一、</w:t>
      </w:r>
      <w:bookmarkEnd w:id="39"/>
      <w:bookmarkEnd w:id="40"/>
      <w:bookmarkEnd w:id="41"/>
      <w:r>
        <w:rPr>
          <w:rFonts w:hint="eastAsia" w:ascii="方正黑体_GBK" w:hAnsi="方正黑体_GBK" w:eastAsia="方正黑体_GBK" w:cs="方正黑体_GBK"/>
          <w:snapToGrid/>
          <w:color w:val="000000"/>
          <w:kern w:val="2"/>
          <w:sz w:val="32"/>
          <w:szCs w:val="32"/>
          <w:lang w:val="en-US" w:eastAsia="zh-CN"/>
        </w:rPr>
        <w:t>自然概况</w:t>
      </w:r>
      <w:bookmarkEnd w:id="42"/>
      <w:bookmarkEnd w:id="43"/>
      <w:bookmarkEnd w:id="44"/>
      <w:bookmarkEnd w:id="45"/>
      <w:bookmarkEnd w:id="46"/>
      <w:bookmarkEnd w:id="47"/>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（一）区域位置。</w:t>
      </w:r>
      <w:r>
        <w:rPr>
          <w:rFonts w:hint="eastAsia" w:ascii="方正仿宋_GBK" w:hAnsi="方正仿宋_GBK" w:eastAsia="方正仿宋_GBK" w:cs="方正仿宋_GBK"/>
          <w:color w:val="auto"/>
          <w:kern w:val="2"/>
          <w:sz w:val="32"/>
          <w:szCs w:val="32"/>
          <w:lang w:val="en-US" w:eastAsia="zh-CN" w:bidi="ar-SA"/>
        </w:rPr>
        <w:t>青铜峡市位于宁夏引黄灌区的精华之地，地处黄河中上游，宁夏平原中部。东隔黄河与吴忠市利通区相望，南以牛首山为界和中卫市中宁县接壤，西至明长城毗邻内蒙古自治区阿拉善左旗，北连银川市永宁县，南北长60余公里，东西宽30余公里。黄河穿境而过（58公里），自秦汉先后开掘了秦渠、汉渠、唐徕渠等九大古干渠，有“九渠之首”、贡米之乡、塞上明珠之誉。</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全市辖8镇</w:t>
      </w:r>
      <w:r>
        <w:rPr>
          <w:rFonts w:hint="eastAsia" w:ascii="方正仿宋_GBK" w:hAnsi="方正仿宋_GBK" w:eastAsia="方正仿宋_GBK" w:cs="方正仿宋_GBK"/>
          <w:color w:val="auto"/>
          <w:kern w:val="2"/>
          <w:sz w:val="32"/>
          <w:szCs w:val="32"/>
          <w:highlight w:val="none"/>
          <w:lang w:val="en-US" w:eastAsia="zh-CN" w:bidi="ar-SA"/>
        </w:rPr>
        <w:t>2场</w:t>
      </w:r>
      <w:r>
        <w:rPr>
          <w:rFonts w:hint="eastAsia" w:ascii="方正仿宋_GBK" w:hAnsi="方正仿宋_GBK" w:eastAsia="方正仿宋_GBK" w:cs="方正仿宋_GBK"/>
          <w:color w:val="auto"/>
          <w:kern w:val="2"/>
          <w:sz w:val="32"/>
          <w:szCs w:val="32"/>
          <w:lang w:val="en-US" w:eastAsia="zh-CN" w:bidi="ar-SA"/>
        </w:rPr>
        <w:t>1</w:t>
      </w:r>
      <w:r>
        <w:rPr>
          <w:rFonts w:hint="eastAsia" w:ascii="方正仿宋_GBK" w:hAnsi="方正仿宋_GBK" w:eastAsia="方正仿宋_GBK" w:cs="方正仿宋_GBK"/>
          <w:color w:val="auto"/>
          <w:kern w:val="2"/>
          <w:sz w:val="32"/>
          <w:szCs w:val="32"/>
          <w:highlight w:val="none"/>
          <w:lang w:val="en-US" w:eastAsia="zh-CN" w:bidi="ar-SA"/>
        </w:rPr>
        <w:t>街道</w:t>
      </w:r>
      <w:r>
        <w:rPr>
          <w:rFonts w:hint="eastAsia" w:ascii="方正仿宋_GBK" w:hAnsi="方正仿宋_GBK" w:eastAsia="方正仿宋_GBK" w:cs="方正仿宋_GBK"/>
          <w:color w:val="auto"/>
          <w:kern w:val="2"/>
          <w:sz w:val="32"/>
          <w:szCs w:val="32"/>
          <w:lang w:val="en-US" w:eastAsia="zh-CN" w:bidi="ar-SA"/>
        </w:rPr>
        <w:t>，84个行政村、25个社区居民委员会。市人民政府驻地小坝镇。</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图1 青铜峡市全貌</w:t>
      </w:r>
    </w:p>
    <w:tbl>
      <w:tblPr>
        <w:tblStyle w:val="10"/>
        <w:tblW w:w="832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5"/>
        <w:gridCol w:w="4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9" w:hRule="atLeast"/>
        </w:trPr>
        <w:tc>
          <w:tcPr>
            <w:tcW w:w="4205" w:type="dxa"/>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方正仿宋_GBK" w:hAnsi="方正仿宋_GBK" w:eastAsia="方正仿宋_GBK" w:cs="方正仿宋_GBK"/>
                <w:color w:val="auto"/>
                <w:kern w:val="2"/>
                <w:sz w:val="32"/>
                <w:szCs w:val="32"/>
                <w:vertAlign w:val="baseline"/>
                <w:lang w:val="en-US" w:eastAsia="zh-CN" w:bidi="ar-SA"/>
              </w:rPr>
            </w:pPr>
            <w:r>
              <w:rPr>
                <w:rFonts w:hint="eastAsia" w:ascii="方正仿宋_GBK" w:hAnsi="方正仿宋_GBK" w:eastAsia="方正仿宋_GBK" w:cs="方正仿宋_GBK"/>
                <w:color w:val="auto"/>
                <w:kern w:val="2"/>
                <w:sz w:val="32"/>
                <w:szCs w:val="32"/>
                <w:vertAlign w:val="baseline"/>
                <w:lang w:val="en-US" w:eastAsia="zh-CN" w:bidi="ar-SA"/>
              </w:rPr>
              <w:drawing>
                <wp:inline distT="0" distB="0" distL="114300" distR="114300">
                  <wp:extent cx="3105785" cy="1842770"/>
                  <wp:effectExtent l="0" t="0" r="18415" b="5080"/>
                  <wp:docPr id="5" name="图片 5" descr="00003.web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003.webp (1)"/>
                          <pic:cNvPicPr>
                            <a:picLocks noChangeAspect="1"/>
                          </pic:cNvPicPr>
                        </pic:nvPicPr>
                        <pic:blipFill>
                          <a:blip r:embed="rId7"/>
                          <a:stretch>
                            <a:fillRect/>
                          </a:stretch>
                        </pic:blipFill>
                        <pic:spPr>
                          <a:xfrm>
                            <a:off x="0" y="0"/>
                            <a:ext cx="3105785" cy="1842770"/>
                          </a:xfrm>
                          <a:prstGeom prst="rect">
                            <a:avLst/>
                          </a:prstGeom>
                        </pic:spPr>
                      </pic:pic>
                    </a:graphicData>
                  </a:graphic>
                </wp:inline>
              </w:drawing>
            </w:r>
          </w:p>
        </w:tc>
        <w:tc>
          <w:tcPr>
            <w:tcW w:w="4120" w:type="dxa"/>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方正仿宋_GBK" w:hAnsi="方正仿宋_GBK" w:eastAsia="方正仿宋_GBK" w:cs="方正仿宋_GBK"/>
                <w:color w:val="auto"/>
                <w:kern w:val="2"/>
                <w:sz w:val="32"/>
                <w:szCs w:val="32"/>
                <w:vertAlign w:val="baseline"/>
                <w:lang w:val="en-US" w:eastAsia="zh-CN" w:bidi="ar-SA"/>
              </w:rPr>
            </w:pPr>
            <w:r>
              <w:rPr>
                <w:rFonts w:hint="eastAsia" w:ascii="方正仿宋_GBK" w:hAnsi="方正仿宋_GBK" w:eastAsia="方正仿宋_GBK" w:cs="方正仿宋_GBK"/>
                <w:color w:val="auto"/>
                <w:kern w:val="2"/>
                <w:sz w:val="32"/>
                <w:szCs w:val="32"/>
                <w:vertAlign w:val="baseline"/>
                <w:lang w:val="en-US" w:eastAsia="zh-CN" w:bidi="ar-SA"/>
              </w:rPr>
              <w:drawing>
                <wp:inline distT="0" distB="0" distL="114300" distR="114300">
                  <wp:extent cx="2992120" cy="1880870"/>
                  <wp:effectExtent l="0" t="0" r="17780" b="5080"/>
                  <wp:docPr id="18" name="图片 18" descr="5d3bbfb5a3106babd4b66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d3bbfb5a3106babd4b6654c"/>
                          <pic:cNvPicPr>
                            <a:picLocks noChangeAspect="1"/>
                          </pic:cNvPicPr>
                        </pic:nvPicPr>
                        <pic:blipFill>
                          <a:blip r:embed="rId8"/>
                          <a:stretch>
                            <a:fillRect/>
                          </a:stretch>
                        </pic:blipFill>
                        <pic:spPr>
                          <a:xfrm>
                            <a:off x="0" y="0"/>
                            <a:ext cx="2992120" cy="18808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0" w:hRule="atLeast"/>
        </w:trPr>
        <w:tc>
          <w:tcPr>
            <w:tcW w:w="4205" w:type="dxa"/>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方正仿宋_GBK" w:hAnsi="方正仿宋_GBK" w:eastAsia="方正仿宋_GBK" w:cs="方正仿宋_GBK"/>
                <w:color w:val="auto"/>
                <w:kern w:val="2"/>
                <w:sz w:val="32"/>
                <w:szCs w:val="32"/>
                <w:vertAlign w:val="baseline"/>
                <w:lang w:val="en-US" w:eastAsia="zh-CN" w:bidi="ar-SA"/>
              </w:rPr>
            </w:pPr>
            <w:r>
              <w:rPr>
                <w:rFonts w:hint="eastAsia" w:ascii="方正仿宋_GBK" w:hAnsi="方正仿宋_GBK" w:eastAsia="方正仿宋_GBK" w:cs="方正仿宋_GBK"/>
                <w:color w:val="auto"/>
                <w:kern w:val="2"/>
                <w:sz w:val="32"/>
                <w:szCs w:val="32"/>
                <w:vertAlign w:val="baseline"/>
                <w:lang w:val="en-US" w:eastAsia="zh-CN" w:bidi="ar-SA"/>
              </w:rPr>
              <w:drawing>
                <wp:inline distT="0" distB="0" distL="114300" distR="114300">
                  <wp:extent cx="3103245" cy="1920240"/>
                  <wp:effectExtent l="0" t="0" r="1905" b="3810"/>
                  <wp:docPr id="20" name="图片 20" descr="W02022070761504223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020220707615042237331"/>
                          <pic:cNvPicPr>
                            <a:picLocks noChangeAspect="1"/>
                          </pic:cNvPicPr>
                        </pic:nvPicPr>
                        <pic:blipFill>
                          <a:blip r:embed="rId9"/>
                          <a:stretch>
                            <a:fillRect/>
                          </a:stretch>
                        </pic:blipFill>
                        <pic:spPr>
                          <a:xfrm>
                            <a:off x="0" y="0"/>
                            <a:ext cx="3103245" cy="1920240"/>
                          </a:xfrm>
                          <a:prstGeom prst="rect">
                            <a:avLst/>
                          </a:prstGeom>
                        </pic:spPr>
                      </pic:pic>
                    </a:graphicData>
                  </a:graphic>
                </wp:inline>
              </w:drawing>
            </w:r>
          </w:p>
        </w:tc>
        <w:tc>
          <w:tcPr>
            <w:tcW w:w="4120" w:type="dxa"/>
          </w:tcPr>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K" w:hAnsi="方正仿宋_GBK" w:eastAsia="方正仿宋_GBK" w:cs="方正仿宋_GBK"/>
                <w:color w:val="auto"/>
                <w:kern w:val="2"/>
                <w:sz w:val="32"/>
                <w:szCs w:val="32"/>
                <w:vertAlign w:val="baseline"/>
                <w:lang w:val="en-US" w:eastAsia="zh-CN" w:bidi="ar-SA"/>
              </w:rPr>
            </w:pPr>
            <w:r>
              <w:rPr>
                <w:rFonts w:hint="eastAsia" w:ascii="方正仿宋_GBK" w:hAnsi="方正仿宋_GBK" w:eastAsia="方正仿宋_GBK" w:cs="方正仿宋_GBK"/>
                <w:color w:val="auto"/>
                <w:kern w:val="2"/>
                <w:sz w:val="32"/>
                <w:szCs w:val="32"/>
                <w:vertAlign w:val="baseline"/>
                <w:lang w:val="en-US" w:eastAsia="zh-CN" w:bidi="ar-SA"/>
              </w:rPr>
              <w:drawing>
                <wp:inline distT="0" distB="0" distL="114300" distR="114300">
                  <wp:extent cx="2574290" cy="1936750"/>
                  <wp:effectExtent l="0" t="0" r="16510" b="6350"/>
                  <wp:docPr id="24"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
                          <pic:cNvPicPr>
                            <a:picLocks noChangeAspect="1"/>
                          </pic:cNvPicPr>
                        </pic:nvPicPr>
                        <pic:blipFill>
                          <a:blip r:embed="rId10"/>
                          <a:stretch>
                            <a:fillRect/>
                          </a:stretch>
                        </pic:blipFill>
                        <pic:spPr>
                          <a:xfrm>
                            <a:off x="0" y="0"/>
                            <a:ext cx="2574290" cy="1936750"/>
                          </a:xfrm>
                          <a:prstGeom prst="rect">
                            <a:avLst/>
                          </a:prstGeom>
                        </pic:spPr>
                      </pic:pic>
                    </a:graphicData>
                  </a:graphic>
                </wp:inline>
              </w:drawing>
            </w:r>
          </w:p>
        </w:tc>
      </w:tr>
    </w:tbl>
    <w:p>
      <w: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图2 青铜峡市行政区划位置示意图</w:t>
      </w:r>
    </w:p>
    <w:p>
      <w:pPr>
        <w:pStyle w:val="2"/>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Arial Unicode MS" w:hAnsi="Arial Unicode MS" w:eastAsia="Arial Unicode MS" w:cs="Arial Unicode MS"/>
          <w:color w:val="auto"/>
          <w:sz w:val="32"/>
          <w:szCs w:val="32"/>
          <w:lang w:val="en-US" w:eastAsia="zh-CN"/>
        </w:rPr>
        <w:drawing>
          <wp:anchor distT="0" distB="0" distL="114300" distR="114300" simplePos="0" relativeHeight="251659264" behindDoc="0" locked="0" layoutInCell="1" allowOverlap="1">
            <wp:simplePos x="0" y="0"/>
            <wp:positionH relativeFrom="column">
              <wp:posOffset>43180</wp:posOffset>
            </wp:positionH>
            <wp:positionV relativeFrom="paragraph">
              <wp:posOffset>268605</wp:posOffset>
            </wp:positionV>
            <wp:extent cx="5181600" cy="7454265"/>
            <wp:effectExtent l="0" t="0" r="0" b="13335"/>
            <wp:wrapTopAndBottom/>
            <wp:docPr id="1" name="图片 1" descr="青铜峡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青铜峡市1"/>
                    <pic:cNvPicPr>
                      <a:picLocks noChangeAspect="1"/>
                    </pic:cNvPicPr>
                  </pic:nvPicPr>
                  <pic:blipFill>
                    <a:blip r:embed="rId11"/>
                    <a:srcRect l="8719" t="10173" r="7480" b="8545"/>
                    <a:stretch>
                      <a:fillRect/>
                    </a:stretch>
                  </pic:blipFill>
                  <pic:spPr>
                    <a:xfrm>
                      <a:off x="0" y="0"/>
                      <a:ext cx="5181600" cy="7454265"/>
                    </a:xfrm>
                    <a:prstGeom prst="rect">
                      <a:avLst/>
                    </a:prstGeom>
                  </pic:spPr>
                </pic:pic>
              </a:graphicData>
            </a:graphic>
          </wp:anchor>
        </w:drawing>
      </w:r>
    </w:p>
    <w:p>
      <w:r>
        <w:br w:type="page"/>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bookmarkStart w:id="48" w:name="_Toc26282"/>
      <w:bookmarkStart w:id="49" w:name="_Toc20679"/>
      <w:bookmarkStart w:id="50" w:name="_Toc10401"/>
      <w:r>
        <w:rPr>
          <w:rFonts w:hint="eastAsia" w:ascii="方正楷体_GBK" w:hAnsi="方正楷体_GBK" w:eastAsia="方正楷体_GBK" w:cs="方正楷体_GBK"/>
          <w:b/>
          <w:bCs/>
          <w:color w:val="auto"/>
          <w:kern w:val="2"/>
          <w:sz w:val="32"/>
          <w:szCs w:val="32"/>
          <w:lang w:val="en-US" w:eastAsia="zh-CN" w:bidi="ar-SA"/>
        </w:rPr>
        <w:t>（二）</w:t>
      </w:r>
      <w:bookmarkEnd w:id="48"/>
      <w:bookmarkEnd w:id="49"/>
      <w:bookmarkEnd w:id="50"/>
      <w:r>
        <w:rPr>
          <w:rFonts w:hint="eastAsia" w:ascii="方正楷体_GBK" w:hAnsi="方正楷体_GBK" w:eastAsia="方正楷体_GBK" w:cs="方正楷体_GBK"/>
          <w:b/>
          <w:bCs/>
          <w:color w:val="auto"/>
          <w:kern w:val="2"/>
          <w:sz w:val="32"/>
          <w:szCs w:val="32"/>
          <w:lang w:val="en-US" w:eastAsia="zh-CN" w:bidi="ar-SA"/>
        </w:rPr>
        <w:t>地形地貌。</w:t>
      </w:r>
      <w:r>
        <w:rPr>
          <w:rFonts w:hint="eastAsia" w:ascii="方正仿宋_GBK" w:hAnsi="方正仿宋_GBK" w:eastAsia="方正仿宋_GBK" w:cs="方正仿宋_GBK"/>
          <w:color w:val="auto"/>
          <w:kern w:val="2"/>
          <w:sz w:val="32"/>
          <w:szCs w:val="32"/>
          <w:lang w:val="en-US" w:eastAsia="zh-CN" w:bidi="ar-SA"/>
        </w:rPr>
        <w:t>境内地势由西南向东北自高而低呈现阶梯状分布，形成山地、低山丘陵、缓坡丘陵、洪积扇地带、黄河冲积平原和库区6个地貌类型。其中山地面积1.48万公顷，占全市土地面积的8.5%；低山丘陵1.38万公顷，占7.9%；缓坡丘陵1.58万公顷，占9.1%；洪积扇地带7.07万公顷，占40.6%；黄河冲积平原5.36万公顷，占30.8%；库区0.54万公顷，占3.1%。海拔为1150～1170米。</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（三）气候特点。</w:t>
      </w:r>
      <w:r>
        <w:rPr>
          <w:rFonts w:hint="eastAsia" w:ascii="方正仿宋_GBK" w:hAnsi="方正仿宋_GBK" w:eastAsia="方正仿宋_GBK" w:cs="方正仿宋_GBK"/>
          <w:color w:val="auto"/>
          <w:kern w:val="2"/>
          <w:sz w:val="32"/>
          <w:szCs w:val="32"/>
          <w:lang w:val="en-US" w:eastAsia="zh-CN" w:bidi="ar-SA"/>
        </w:rPr>
        <w:t>青铜峡市地处西北内陆，处于东部季风区与西部干旱区域交汇地带，属中温带大陆性气候。冬无严寒，夏无酷暑，四季分明，气候干燥，日照充足，光能丰富。常年平均气温9.8℃，最低气温－25.0℃，最高气温37.7℃。年降水量177.8毫米，5—9月的降水量占全年的83％，年平均相对湿度52％，年平均无霜期178天，年日照时数3044.1小时，年平均风速2.4米/秒，最多风向为西北风，年蒸发量1946.1毫米，年平均大风日数12天，最多年份达44天，年最大冻土深度83厘米。主要气象灾害有大风、沙尘暴、高温、低温冷冻、寒潮、霜冻、冰雹、暴雨、山洪、连阴雨（雪）、冬季冰冻等灾害。</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（四）交通资源。</w:t>
      </w:r>
      <w:r>
        <w:rPr>
          <w:rFonts w:hint="eastAsia" w:ascii="方正仿宋_GBK" w:hAnsi="方正仿宋_GBK" w:eastAsia="方正仿宋_GBK" w:cs="方正仿宋_GBK"/>
          <w:color w:val="auto"/>
          <w:kern w:val="2"/>
          <w:sz w:val="32"/>
          <w:szCs w:val="32"/>
          <w:lang w:val="en-US" w:eastAsia="zh-CN" w:bidi="ar-SA"/>
        </w:rPr>
        <w:t>青铜峡市距首府银川50公里、河东机场55公里，包兰铁路、大古铁路横穿境内，京藏高速、古青高速、乌玛高速和G109国道、S201省</w:t>
      </w:r>
      <w:r>
        <w:rPr>
          <w:rFonts w:hint="eastAsia" w:ascii="方正仿宋_GBK" w:hAnsi="方正仿宋_GBK" w:eastAsia="方正仿宋_GBK" w:cs="方正仿宋_GBK"/>
          <w:color w:val="auto"/>
          <w:spacing w:val="-11"/>
          <w:kern w:val="2"/>
          <w:sz w:val="32"/>
          <w:szCs w:val="32"/>
          <w:lang w:val="en-US" w:eastAsia="zh-CN" w:bidi="ar-SA"/>
        </w:rPr>
        <w:t>道、滨河大道纵贯全境，乡村道路四通八达，通车总里程达1280余公</w:t>
      </w:r>
      <w:r>
        <w:rPr>
          <w:rFonts w:hint="eastAsia" w:ascii="方正仿宋_GBK" w:hAnsi="方正仿宋_GBK" w:eastAsia="方正仿宋_GBK" w:cs="方正仿宋_GBK"/>
          <w:color w:val="auto"/>
          <w:kern w:val="2"/>
          <w:sz w:val="32"/>
          <w:szCs w:val="32"/>
          <w:lang w:val="en-US" w:eastAsia="zh-CN" w:bidi="ar-SA"/>
        </w:rPr>
        <w:t>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51" w:name="_Toc18998"/>
      <w:bookmarkStart w:id="52" w:name="_Toc9643"/>
      <w:r>
        <w:rPr>
          <w:rFonts w:hint="eastAsia" w:ascii="方正黑体_GBK" w:hAnsi="方正黑体_GBK" w:eastAsia="方正黑体_GBK" w:cs="方正黑体_GBK"/>
          <w:snapToGrid/>
          <w:color w:val="000000"/>
          <w:kern w:val="2"/>
          <w:sz w:val="32"/>
          <w:szCs w:val="32"/>
          <w:lang w:val="en-US" w:eastAsia="zh-CN"/>
        </w:rPr>
        <w:t>二、人口概况</w:t>
      </w:r>
      <w:bookmarkEnd w:id="51"/>
      <w:bookmarkEnd w:id="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根据《青铜峡市2022年国民经济和社会发展统计公报》，</w:t>
      </w:r>
      <w:r>
        <w:rPr>
          <w:rFonts w:hint="eastAsia" w:ascii="方正仿宋_GBK" w:hAnsi="方正仿宋_GBK" w:eastAsia="方正仿宋_GBK" w:cs="方正仿宋_GBK"/>
          <w:color w:val="auto"/>
          <w:kern w:val="2"/>
          <w:sz w:val="32"/>
          <w:szCs w:val="32"/>
          <w:lang w:val="en-US" w:eastAsia="zh-CN" w:bidi="ar-SA"/>
        </w:rPr>
        <w:t>2022年末，全市户籍总人口272705人，其中：城镇人口83986人，乡村人口188719人；汉族及其他人口205794人，占总人口的75%；回族人口66911人，占总人口的25%，人口出生率为7.76‰，死亡率为8.17‰，自然增长率为-0.41‰。2011-202</w:t>
      </w:r>
      <w:r>
        <w:rPr>
          <w:rFonts w:hint="default" w:ascii="方正仿宋_GBK" w:hAnsi="方正仿宋_GBK" w:eastAsia="方正仿宋_GBK" w:cs="方正仿宋_GBK"/>
          <w:color w:val="auto"/>
          <w:kern w:val="2"/>
          <w:sz w:val="32"/>
          <w:szCs w:val="32"/>
          <w:lang w:val="en-US" w:eastAsia="zh-CN" w:bidi="ar-SA"/>
        </w:rPr>
        <w:t>2</w:t>
      </w:r>
      <w:r>
        <w:rPr>
          <w:rFonts w:hint="eastAsia" w:ascii="方正仿宋_GBK" w:hAnsi="方正仿宋_GBK" w:eastAsia="方正仿宋_GBK" w:cs="方正仿宋_GBK"/>
          <w:color w:val="auto"/>
          <w:kern w:val="2"/>
          <w:sz w:val="32"/>
          <w:szCs w:val="32"/>
          <w:lang w:val="en-US" w:eastAsia="zh-CN" w:bidi="ar-SA"/>
        </w:rPr>
        <w:t>年户籍人口数。详见表1、图3。</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lang w:val="en-US" w:eastAsia="zh-CN" w:bidi="ar-SA"/>
        </w:rPr>
      </w:pPr>
      <w:r>
        <w:rPr>
          <w:rFonts w:hint="eastAsia" w:ascii="方正仿宋_GBK" w:hAnsi="方正仿宋_GBK" w:eastAsia="方正仿宋_GBK" w:cs="方正仿宋_GBK"/>
          <w:color w:val="auto"/>
          <w:kern w:val="2"/>
          <w:sz w:val="28"/>
          <w:szCs w:val="28"/>
          <w:highlight w:val="none"/>
          <w:lang w:val="en-US" w:eastAsia="zh-CN" w:bidi="ar-SA"/>
        </w:rPr>
        <w:t>表1 2016-202</w:t>
      </w:r>
      <w:r>
        <w:rPr>
          <w:rFonts w:hint="default" w:ascii="方正仿宋_GBK" w:hAnsi="方正仿宋_GBK" w:eastAsia="方正仿宋_GBK" w:cs="方正仿宋_GBK"/>
          <w:color w:val="auto"/>
          <w:kern w:val="2"/>
          <w:sz w:val="28"/>
          <w:szCs w:val="28"/>
          <w:highlight w:val="none"/>
          <w:lang w:eastAsia="zh-CN" w:bidi="ar-SA"/>
        </w:rPr>
        <w:t>2</w:t>
      </w:r>
      <w:r>
        <w:rPr>
          <w:rFonts w:hint="eastAsia" w:ascii="方正仿宋_GBK" w:hAnsi="方正仿宋_GBK" w:eastAsia="方正仿宋_GBK" w:cs="方正仿宋_GBK"/>
          <w:color w:val="auto"/>
          <w:kern w:val="2"/>
          <w:sz w:val="28"/>
          <w:szCs w:val="28"/>
          <w:highlight w:val="none"/>
          <w:lang w:val="en-US" w:eastAsia="zh-CN" w:bidi="ar-SA"/>
        </w:rPr>
        <w:t>年青铜峡市户籍人口统计表</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jc w:val="right"/>
        <w:textAlignment w:val="auto"/>
        <w:rPr>
          <w:rFonts w:hint="eastAsia" w:ascii="方正仿宋_GBK" w:hAnsi="方正仿宋_GBK" w:eastAsia="方正仿宋_GBK" w:cs="方正仿宋_GBK"/>
          <w:color w:val="auto"/>
          <w:kern w:val="2"/>
          <w:sz w:val="28"/>
          <w:szCs w:val="28"/>
          <w:highlight w:val="none"/>
          <w:lang w:val="en-US" w:eastAsia="zh-CN" w:bidi="ar-SA"/>
        </w:rPr>
      </w:pPr>
      <w:r>
        <w:rPr>
          <w:rFonts w:hint="eastAsia" w:ascii="方正仿宋_GBK" w:hAnsi="方正仿宋_GBK" w:eastAsia="方正仿宋_GBK" w:cs="方正仿宋_GBK"/>
          <w:color w:val="auto"/>
          <w:kern w:val="2"/>
          <w:sz w:val="28"/>
          <w:szCs w:val="28"/>
          <w:highlight w:val="none"/>
          <w:lang w:val="en-US" w:eastAsia="zh-CN" w:bidi="ar-SA"/>
        </w:rPr>
        <w:t>单位：人</w:t>
      </w:r>
    </w:p>
    <w:tbl>
      <w:tblPr>
        <w:tblStyle w:val="10"/>
        <w:tblpPr w:leftFromText="180" w:rightFromText="180" w:vertAnchor="text" w:horzAnchor="page" w:tblpX="12806" w:tblpY="51"/>
        <w:tblOverlap w:val="never"/>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759"/>
        <w:gridCol w:w="1332"/>
        <w:gridCol w:w="1334"/>
        <w:gridCol w:w="1222"/>
        <w:gridCol w:w="1167"/>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exact"/>
        </w:trPr>
        <w:tc>
          <w:tcPr>
            <w:tcW w:w="1125" w:type="dxa"/>
            <w:shd w:val="clear" w:color="auto" w:fill="E7E6E6" w:themeFill="background2"/>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年份</w:t>
            </w:r>
          </w:p>
        </w:tc>
        <w:tc>
          <w:tcPr>
            <w:tcW w:w="1759" w:type="dxa"/>
            <w:shd w:val="clear" w:color="auto" w:fill="E7E6E6" w:themeFill="background2"/>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总人口数</w:t>
            </w:r>
          </w:p>
        </w:tc>
        <w:tc>
          <w:tcPr>
            <w:tcW w:w="1332" w:type="dxa"/>
            <w:shd w:val="clear" w:color="auto" w:fill="E7E6E6" w:themeFill="background2"/>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汉族</w:t>
            </w:r>
          </w:p>
        </w:tc>
        <w:tc>
          <w:tcPr>
            <w:tcW w:w="1334" w:type="dxa"/>
            <w:shd w:val="clear" w:color="auto" w:fill="E7E6E6" w:themeFill="background2"/>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回族</w:t>
            </w:r>
          </w:p>
        </w:tc>
        <w:tc>
          <w:tcPr>
            <w:tcW w:w="1222" w:type="dxa"/>
            <w:shd w:val="clear" w:color="auto" w:fill="E7E6E6" w:themeFill="background2"/>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出生率</w:t>
            </w:r>
          </w:p>
        </w:tc>
        <w:tc>
          <w:tcPr>
            <w:tcW w:w="1167" w:type="dxa"/>
            <w:shd w:val="clear" w:color="auto" w:fill="E7E6E6" w:themeFill="background2"/>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死亡率</w:t>
            </w:r>
          </w:p>
        </w:tc>
        <w:tc>
          <w:tcPr>
            <w:tcW w:w="1385" w:type="dxa"/>
            <w:shd w:val="clear" w:color="auto" w:fill="E7E6E6" w:themeFill="background2"/>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自然增长率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exact"/>
        </w:trPr>
        <w:tc>
          <w:tcPr>
            <w:tcW w:w="112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2016</w:t>
            </w:r>
          </w:p>
        </w:tc>
        <w:tc>
          <w:tcPr>
            <w:tcW w:w="1759"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283842</w:t>
            </w:r>
          </w:p>
        </w:tc>
        <w:tc>
          <w:tcPr>
            <w:tcW w:w="133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216161</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67681</w:t>
            </w:r>
          </w:p>
        </w:tc>
        <w:tc>
          <w:tcPr>
            <w:tcW w:w="122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11.62‰</w:t>
            </w:r>
          </w:p>
        </w:tc>
        <w:tc>
          <w:tcPr>
            <w:tcW w:w="1167"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4.48‰</w:t>
            </w:r>
          </w:p>
        </w:tc>
        <w:tc>
          <w:tcPr>
            <w:tcW w:w="138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exact"/>
        </w:trPr>
        <w:tc>
          <w:tcPr>
            <w:tcW w:w="112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2017</w:t>
            </w:r>
          </w:p>
        </w:tc>
        <w:tc>
          <w:tcPr>
            <w:tcW w:w="1759"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284431</w:t>
            </w:r>
          </w:p>
        </w:tc>
        <w:tc>
          <w:tcPr>
            <w:tcW w:w="133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215416</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69015</w:t>
            </w:r>
          </w:p>
        </w:tc>
        <w:tc>
          <w:tcPr>
            <w:tcW w:w="122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10.53‰</w:t>
            </w:r>
          </w:p>
        </w:tc>
        <w:tc>
          <w:tcPr>
            <w:tcW w:w="1167"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5.34‰</w:t>
            </w:r>
          </w:p>
        </w:tc>
        <w:tc>
          <w:tcPr>
            <w:tcW w:w="138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exact"/>
        </w:trPr>
        <w:tc>
          <w:tcPr>
            <w:tcW w:w="112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2018</w:t>
            </w:r>
          </w:p>
        </w:tc>
        <w:tc>
          <w:tcPr>
            <w:tcW w:w="1759"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283447</w:t>
            </w:r>
          </w:p>
        </w:tc>
        <w:tc>
          <w:tcPr>
            <w:tcW w:w="133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214353</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69094</w:t>
            </w:r>
          </w:p>
        </w:tc>
        <w:tc>
          <w:tcPr>
            <w:tcW w:w="122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8.88‰</w:t>
            </w:r>
          </w:p>
        </w:tc>
        <w:tc>
          <w:tcPr>
            <w:tcW w:w="1167"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6.03‰</w:t>
            </w:r>
          </w:p>
        </w:tc>
        <w:tc>
          <w:tcPr>
            <w:tcW w:w="138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exact"/>
        </w:trPr>
        <w:tc>
          <w:tcPr>
            <w:tcW w:w="112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2019</w:t>
            </w:r>
          </w:p>
        </w:tc>
        <w:tc>
          <w:tcPr>
            <w:tcW w:w="1759"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278127</w:t>
            </w:r>
          </w:p>
        </w:tc>
        <w:tc>
          <w:tcPr>
            <w:tcW w:w="133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210837</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67290</w:t>
            </w:r>
          </w:p>
        </w:tc>
        <w:tc>
          <w:tcPr>
            <w:tcW w:w="122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9.33‰</w:t>
            </w:r>
          </w:p>
        </w:tc>
        <w:tc>
          <w:tcPr>
            <w:tcW w:w="1167"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7.63‰</w:t>
            </w:r>
          </w:p>
        </w:tc>
        <w:tc>
          <w:tcPr>
            <w:tcW w:w="138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exact"/>
        </w:trPr>
        <w:tc>
          <w:tcPr>
            <w:tcW w:w="112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2020</w:t>
            </w:r>
          </w:p>
        </w:tc>
        <w:tc>
          <w:tcPr>
            <w:tcW w:w="1759"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276377</w:t>
            </w:r>
          </w:p>
        </w:tc>
        <w:tc>
          <w:tcPr>
            <w:tcW w:w="133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207744</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67146</w:t>
            </w:r>
          </w:p>
        </w:tc>
        <w:tc>
          <w:tcPr>
            <w:tcW w:w="122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9.02‰</w:t>
            </w:r>
          </w:p>
        </w:tc>
        <w:tc>
          <w:tcPr>
            <w:tcW w:w="1167"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7.10‰</w:t>
            </w:r>
          </w:p>
        </w:tc>
        <w:tc>
          <w:tcPr>
            <w:tcW w:w="138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exact"/>
        </w:trPr>
        <w:tc>
          <w:tcPr>
            <w:tcW w:w="112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2021</w:t>
            </w:r>
          </w:p>
        </w:tc>
        <w:tc>
          <w:tcPr>
            <w:tcW w:w="1759"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274273</w:t>
            </w:r>
          </w:p>
        </w:tc>
        <w:tc>
          <w:tcPr>
            <w:tcW w:w="133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207277</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66996</w:t>
            </w:r>
          </w:p>
        </w:tc>
        <w:tc>
          <w:tcPr>
            <w:tcW w:w="122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8.57‰</w:t>
            </w:r>
          </w:p>
        </w:tc>
        <w:tc>
          <w:tcPr>
            <w:tcW w:w="1167"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7.76‰</w:t>
            </w:r>
          </w:p>
        </w:tc>
        <w:tc>
          <w:tcPr>
            <w:tcW w:w="138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exact"/>
        </w:trPr>
        <w:tc>
          <w:tcPr>
            <w:tcW w:w="112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eastAsia="zh-CN" w:bidi="ar-SA"/>
              </w:rPr>
            </w:pPr>
            <w:r>
              <w:rPr>
                <w:rFonts w:hint="default" w:ascii="方正仿宋_GBK" w:hAnsi="方正仿宋_GBK" w:eastAsia="方正仿宋_GBK" w:cs="方正仿宋_GBK"/>
                <w:color w:val="auto"/>
                <w:kern w:val="2"/>
                <w:sz w:val="24"/>
                <w:szCs w:val="24"/>
                <w:lang w:eastAsia="zh-CN" w:bidi="ar-SA"/>
              </w:rPr>
              <w:t>2022</w:t>
            </w:r>
          </w:p>
        </w:tc>
        <w:tc>
          <w:tcPr>
            <w:tcW w:w="1759"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eastAsia="zh-CN" w:bidi="ar-SA"/>
              </w:rPr>
            </w:pPr>
            <w:r>
              <w:rPr>
                <w:rFonts w:hint="default" w:ascii="方正仿宋_GBK" w:hAnsi="方正仿宋_GBK" w:eastAsia="方正仿宋_GBK" w:cs="方正仿宋_GBK"/>
                <w:color w:val="auto"/>
                <w:kern w:val="2"/>
                <w:sz w:val="24"/>
                <w:szCs w:val="24"/>
                <w:lang w:eastAsia="zh-CN" w:bidi="ar-SA"/>
              </w:rPr>
              <w:t>272705</w:t>
            </w:r>
          </w:p>
        </w:tc>
        <w:tc>
          <w:tcPr>
            <w:tcW w:w="133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205794</w:t>
            </w:r>
          </w:p>
        </w:tc>
        <w:tc>
          <w:tcPr>
            <w:tcW w:w="1334"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66911</w:t>
            </w:r>
          </w:p>
        </w:tc>
        <w:tc>
          <w:tcPr>
            <w:tcW w:w="1222"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7.76‰</w:t>
            </w:r>
          </w:p>
        </w:tc>
        <w:tc>
          <w:tcPr>
            <w:tcW w:w="1167"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8.17‰</w:t>
            </w:r>
          </w:p>
        </w:tc>
        <w:tc>
          <w:tcPr>
            <w:tcW w:w="1385" w:type="dxa"/>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-0.41‰</w:t>
            </w:r>
          </w:p>
        </w:tc>
      </w:tr>
    </w:tbl>
    <w:tbl>
      <w:tblPr>
        <w:tblStyle w:val="10"/>
        <w:tblW w:w="86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239"/>
        <w:gridCol w:w="1239"/>
        <w:gridCol w:w="1239"/>
        <w:gridCol w:w="1240"/>
        <w:gridCol w:w="124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b/>
                <w:bCs/>
                <w:color w:val="auto"/>
                <w:kern w:val="2"/>
                <w:sz w:val="24"/>
                <w:szCs w:val="24"/>
                <w:lang w:val="en-US" w:eastAsia="zh-CN" w:bidi="ar-SA"/>
              </w:rPr>
              <w:t>年份</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b/>
                <w:bCs/>
                <w:color w:val="auto"/>
                <w:kern w:val="2"/>
                <w:sz w:val="24"/>
                <w:szCs w:val="24"/>
                <w:lang w:val="en-US" w:eastAsia="zh-CN" w:bidi="ar-SA"/>
              </w:rPr>
              <w:t>总人口数</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b/>
                <w:bCs/>
                <w:color w:val="auto"/>
                <w:kern w:val="2"/>
                <w:sz w:val="24"/>
                <w:szCs w:val="24"/>
                <w:lang w:val="en-US" w:eastAsia="zh-CN" w:bidi="ar-SA"/>
              </w:rPr>
              <w:t>汉族</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b/>
                <w:bCs/>
                <w:color w:val="auto"/>
                <w:kern w:val="2"/>
                <w:sz w:val="24"/>
                <w:szCs w:val="24"/>
                <w:lang w:val="en-US" w:eastAsia="zh-CN" w:bidi="ar-SA"/>
              </w:rPr>
              <w:t>回族</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b/>
                <w:bCs/>
                <w:color w:val="auto"/>
                <w:kern w:val="2"/>
                <w:sz w:val="24"/>
                <w:szCs w:val="24"/>
                <w:lang w:val="en-US" w:eastAsia="zh-CN" w:bidi="ar-SA"/>
              </w:rPr>
              <w:t>出生率</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b/>
                <w:bCs/>
                <w:color w:val="auto"/>
                <w:kern w:val="2"/>
                <w:sz w:val="24"/>
                <w:szCs w:val="24"/>
                <w:lang w:val="en-US" w:eastAsia="zh-CN" w:bidi="ar-SA"/>
              </w:rPr>
              <w:t>死亡率</w:t>
            </w:r>
          </w:p>
        </w:tc>
        <w:tc>
          <w:tcPr>
            <w:tcW w:w="1240" w:type="dxa"/>
            <w:vAlign w:val="top"/>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自然增长率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2016</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283842</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216161</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67681</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11.62‰</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4.48‰</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2017</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284431</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215416</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69015</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10.53‰</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5.34‰</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2018</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283447</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214353</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69094</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8.88‰</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6.03‰</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2019</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278127</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210837</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67290</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9.33‰</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7.63‰</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2020</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276377</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207744</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67146</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9.02‰</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7.10‰</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2021</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274273</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207277</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66996</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8.57‰</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7.76‰</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default" w:ascii="方正仿宋_GBK" w:hAnsi="方正仿宋_GBK" w:eastAsia="方正仿宋_GBK" w:cs="方正仿宋_GBK"/>
                <w:color w:val="auto"/>
                <w:kern w:val="2"/>
                <w:sz w:val="24"/>
                <w:szCs w:val="24"/>
                <w:lang w:eastAsia="zh-CN" w:bidi="ar-SA"/>
              </w:rPr>
              <w:t>2022</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default" w:ascii="方正仿宋_GBK" w:hAnsi="方正仿宋_GBK" w:eastAsia="方正仿宋_GBK" w:cs="方正仿宋_GBK"/>
                <w:color w:val="auto"/>
                <w:kern w:val="2"/>
                <w:sz w:val="24"/>
                <w:szCs w:val="24"/>
                <w:lang w:eastAsia="zh-CN" w:bidi="ar-SA"/>
              </w:rPr>
              <w:t>272705</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205794</w:t>
            </w:r>
          </w:p>
        </w:tc>
        <w:tc>
          <w:tcPr>
            <w:tcW w:w="1239"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66911</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7.76‰</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8.17‰</w:t>
            </w:r>
          </w:p>
        </w:tc>
        <w:tc>
          <w:tcPr>
            <w:tcW w:w="1240" w:type="dxa"/>
            <w:vAlign w:val="top"/>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highlight w:val="none"/>
                <w:vertAlign w:val="baseline"/>
                <w:lang w:val="en-US" w:eastAsia="zh-CN" w:bidi="ar-SA"/>
              </w:rPr>
            </w:pPr>
            <w:r>
              <w:rPr>
                <w:rFonts w:hint="eastAsia" w:ascii="方正仿宋_GBK" w:hAnsi="方正仿宋_GBK" w:eastAsia="方正仿宋_GBK" w:cs="方正仿宋_GBK"/>
                <w:color w:val="auto"/>
                <w:kern w:val="2"/>
                <w:sz w:val="24"/>
                <w:szCs w:val="24"/>
                <w:lang w:val="en-US" w:eastAsia="zh-CN" w:bidi="ar-SA"/>
              </w:rPr>
              <w:t>-0.41‰</w:t>
            </w:r>
          </w:p>
        </w:tc>
      </w:tr>
    </w:tbl>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图3 青铜峡市2016-202</w:t>
      </w:r>
      <w:r>
        <w:rPr>
          <w:rFonts w:hint="default" w:ascii="方正仿宋_GBK" w:hAnsi="方正仿宋_GBK" w:eastAsia="方正仿宋_GBK" w:cs="方正仿宋_GBK"/>
          <w:color w:val="auto"/>
          <w:kern w:val="2"/>
          <w:sz w:val="28"/>
          <w:szCs w:val="28"/>
          <w:lang w:eastAsia="zh-CN" w:bidi="ar-SA"/>
        </w:rPr>
        <w:t>2</w:t>
      </w:r>
      <w:r>
        <w:rPr>
          <w:rFonts w:hint="eastAsia" w:ascii="方正仿宋_GBK" w:hAnsi="方正仿宋_GBK" w:eastAsia="方正仿宋_GBK" w:cs="方正仿宋_GBK"/>
          <w:color w:val="auto"/>
          <w:kern w:val="2"/>
          <w:sz w:val="28"/>
          <w:szCs w:val="28"/>
          <w:lang w:val="en-US" w:eastAsia="zh-CN" w:bidi="ar-SA"/>
        </w:rPr>
        <w:t>年全市户籍人口数</w:t>
      </w:r>
    </w:p>
    <w:p>
      <w:pPr>
        <w:pStyle w:val="2"/>
      </w:pPr>
      <w:r>
        <w:drawing>
          <wp:inline distT="0" distB="0" distL="114300" distR="114300">
            <wp:extent cx="5555615" cy="2533015"/>
            <wp:effectExtent l="0" t="0" r="6985" b="635"/>
            <wp:docPr id="29" name="图片 3"/>
            <wp:cNvGraphicFramePr/>
            <a:graphic xmlns:a="http://schemas.openxmlformats.org/drawingml/2006/main">
              <a:graphicData uri="http://schemas.openxmlformats.org/drawingml/2006/picture">
                <pic:pic xmlns:pic="http://schemas.openxmlformats.org/drawingml/2006/picture">
                  <pic:nvPicPr>
                    <pic:cNvPr id="29" name="图片 3"/>
                    <pic:cNvPicPr/>
                  </pic:nvPicPr>
                  <pic:blipFill>
                    <a:blip r:embed="rId12"/>
                    <a:stretch>
                      <a:fillRect/>
                    </a:stretch>
                  </pic:blipFill>
                  <pic:spPr>
                    <a:xfrm>
                      <a:off x="0" y="0"/>
                      <a:ext cx="5555615" cy="25330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对上述数据进行分析，从2016年至2022年，全市出生率和自然增长率逐年递减，死亡率从2016年至2022年逐年增长。随着社会老龄化的加剧，导致死亡人数不断增长，殡葬用地需求逐渐增大，而土地面积减少，人地矛盾越来越尖锐，故殡葬行业改革刻不容缓。</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方正黑体_GBK" w:hAnsi="方正黑体_GBK" w:eastAsia="方正黑体_GBK" w:cs="方正黑体_GBK"/>
          <w:snapToGrid/>
          <w:color w:val="000000"/>
          <w:kern w:val="2"/>
          <w:sz w:val="32"/>
          <w:szCs w:val="32"/>
          <w:lang w:val="en-US" w:eastAsia="zh-CN"/>
        </w:rPr>
      </w:pPr>
      <w:bookmarkStart w:id="53" w:name="_Toc10040"/>
      <w:bookmarkStart w:id="54" w:name="_Toc25901"/>
      <w:bookmarkStart w:id="55" w:name="_Toc21335"/>
      <w:bookmarkStart w:id="56" w:name="_Toc4914"/>
      <w:r>
        <w:rPr>
          <w:rFonts w:hint="eastAsia" w:ascii="方正黑体_GBK" w:hAnsi="方正黑体_GBK" w:eastAsia="方正黑体_GBK" w:cs="方正黑体_GBK"/>
          <w:snapToGrid/>
          <w:color w:val="000000"/>
          <w:kern w:val="2"/>
          <w:sz w:val="32"/>
          <w:szCs w:val="32"/>
          <w:lang w:val="en-US" w:eastAsia="zh-CN"/>
        </w:rPr>
        <w:t>三、殡葬设施现状</w:t>
      </w:r>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截止2022年，青铜峡市共有4座公墓，1座殡仪服务中心。4座公墓分别为西山公墓、牛首山公墓、铝厂公墓</w:t>
      </w:r>
      <w:r>
        <w:rPr>
          <w:rFonts w:hint="eastAsia" w:ascii="方正仿宋_GBK" w:hAnsi="方正仿宋_GBK" w:eastAsia="方正仿宋_GBK" w:cs="方正仿宋_GBK"/>
          <w:color w:val="auto"/>
          <w:kern w:val="2"/>
          <w:sz w:val="32"/>
          <w:szCs w:val="32"/>
          <w:highlight w:val="none"/>
          <w:lang w:val="en-US" w:eastAsia="zh-CN" w:bidi="ar-SA"/>
        </w:rPr>
        <w:t>和臭泉沟公益性公墓。</w:t>
      </w:r>
      <w:r>
        <w:rPr>
          <w:rFonts w:hint="eastAsia" w:ascii="方正仿宋_GBK" w:hAnsi="方正仿宋_GBK" w:eastAsia="方正仿宋_GBK" w:cs="方正仿宋_GBK"/>
          <w:color w:val="auto"/>
          <w:kern w:val="2"/>
          <w:sz w:val="32"/>
          <w:szCs w:val="32"/>
          <w:lang w:val="en-US" w:eastAsia="zh-CN" w:bidi="ar-SA"/>
        </w:rPr>
        <w:t>殡仪服务中心为市殡仪馆。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（一）公墓情况</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1.西山公墓。</w:t>
      </w:r>
      <w:r>
        <w:rPr>
          <w:rFonts w:hint="eastAsia" w:ascii="方正仿宋_GBK" w:hAnsi="方正仿宋_GBK" w:eastAsia="方正仿宋_GBK" w:cs="方正仿宋_GBK"/>
          <w:color w:val="auto"/>
          <w:kern w:val="2"/>
          <w:sz w:val="32"/>
          <w:szCs w:val="32"/>
          <w:lang w:val="en-US" w:eastAsia="zh-CN" w:bidi="ar-SA"/>
        </w:rPr>
        <w:t>分为汉民经营性墓区和回民公益性墓区。汉民经营性墓区规划面积1500亩，</w:t>
      </w:r>
      <w:r>
        <w:rPr>
          <w:rFonts w:hint="eastAsia" w:ascii="方正仿宋_GBK" w:hAnsi="方正仿宋_GBK" w:eastAsia="方正仿宋_GBK" w:cs="方正仿宋_GBK"/>
          <w:color w:val="auto"/>
          <w:kern w:val="2"/>
          <w:sz w:val="32"/>
          <w:szCs w:val="32"/>
          <w:highlight w:val="none"/>
          <w:lang w:val="en-US" w:eastAsia="zh-CN" w:bidi="ar-SA"/>
        </w:rPr>
        <w:t>已使用1007亩（墓</w:t>
      </w:r>
      <w:r>
        <w:rPr>
          <w:rFonts w:hint="eastAsia" w:ascii="方正仿宋_GBK" w:hAnsi="方正仿宋_GBK" w:eastAsia="方正仿宋_GBK" w:cs="方正仿宋_GBK"/>
          <w:color w:val="auto"/>
          <w:kern w:val="2"/>
          <w:sz w:val="32"/>
          <w:szCs w:val="32"/>
          <w:lang w:val="en-US" w:eastAsia="zh-CN" w:bidi="ar-SA"/>
        </w:rPr>
        <w:t>区占地678亩、道路占地141亩、绿化占地175亩、散埋老坟区占地13亩），不可利用地48亩，剩余土地445亩。迁坟安置区面积907亩，已使用409亩（墓区占地344亩，散坟地占地65亩），剩余面积498亩。回民公益性墓区规划面积300亩，实际面积为276亩，已使用56亩，其中（墓区占地27亩，道路占地15亩，绿化占地13亩、基础设施占地1亩），不可利用地27亩，剩余面积193亩。主要安葬青铜峡市城区、大坝镇、小坝镇、瞿靖镇、叶盛镇、邵岗镇、陈袁滩镇的回、汉族去世群众遗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2019年12月31日，根据自治区人民政府《关于青铜峡市陵园项目建设用地的批复》（宁政土批﹝2019﹞168号）批准汉民经营性墓区挂牌60亩作为青铜峡市公墓项目建设用地。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2022年3月21日，青铜峡市人民政府下发了《关于2022年第一批次国有建设用地使用权公开出让的批复》，同意西山陵园有限公司对28.34亩土地进行协议出让，土地用途为殡葬用地。5月11日，西山陵园有限公司以协议出让方式取得28.34亩经营性殡葬用地。</w:t>
      </w:r>
    </w:p>
    <w:p>
      <w:pPr>
        <w:jc w:val="center"/>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图4 西山公墓汉民经营性墓区</w:t>
      </w:r>
    </w:p>
    <w:tbl>
      <w:tblPr>
        <w:tblStyle w:val="10"/>
        <w:tblpPr w:leftFromText="180" w:rightFromText="180" w:vertAnchor="text" w:horzAnchor="page" w:tblpX="2002" w:tblpY="98"/>
        <w:tblOverlap w:val="never"/>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1"/>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1" w:hRule="atLeast"/>
        </w:trPr>
        <w:tc>
          <w:tcPr>
            <w:tcW w:w="4411" w:type="dxa"/>
          </w:tcPr>
          <w:p>
            <w:pPr>
              <w:rPr>
                <w:vertAlign w:val="baseline"/>
              </w:rPr>
            </w:pPr>
            <w:r>
              <w:rPr>
                <w:rFonts w:hint="eastAsia"/>
                <w:color w:val="auto"/>
                <w:lang w:val="en-US" w:eastAsia="zh-CN"/>
              </w:rPr>
              <w:drawing>
                <wp:inline distT="0" distB="0" distL="114300" distR="114300">
                  <wp:extent cx="2620010" cy="1732280"/>
                  <wp:effectExtent l="0" t="0" r="8890" b="1270"/>
                  <wp:docPr id="43" name="图片 43" descr="C:/Users/ADMINI~1/AppData/Local/Temp/picturecompress_202102021611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1/AppData/Local/Temp/picturecompress_20210202161157/output_1.jpgoutput_1"/>
                          <pic:cNvPicPr>
                            <a:picLocks noChangeAspect="1"/>
                          </pic:cNvPicPr>
                        </pic:nvPicPr>
                        <pic:blipFill>
                          <a:blip r:embed="rId13"/>
                          <a:stretch>
                            <a:fillRect/>
                          </a:stretch>
                        </pic:blipFill>
                        <pic:spPr>
                          <a:xfrm>
                            <a:off x="0" y="0"/>
                            <a:ext cx="2620010" cy="1732280"/>
                          </a:xfrm>
                          <a:prstGeom prst="roundRect">
                            <a:avLst/>
                          </a:prstGeom>
                        </pic:spPr>
                      </pic:pic>
                    </a:graphicData>
                  </a:graphic>
                </wp:inline>
              </w:drawing>
            </w:r>
          </w:p>
        </w:tc>
        <w:tc>
          <w:tcPr>
            <w:tcW w:w="4359" w:type="dxa"/>
          </w:tcPr>
          <w:p>
            <w:pPr>
              <w:rPr>
                <w:vertAlign w:val="baseline"/>
              </w:rPr>
            </w:pPr>
            <w:r>
              <w:rPr>
                <w:rFonts w:hint="eastAsia" w:ascii="Arial Unicode MS" w:hAnsi="Arial Unicode MS" w:eastAsia="Arial Unicode MS" w:cs="Arial Unicode MS"/>
                <w:b w:val="0"/>
                <w:color w:val="auto"/>
                <w:kern w:val="2"/>
                <w:sz w:val="32"/>
                <w:szCs w:val="32"/>
                <w:lang w:val="en-US" w:eastAsia="zh-CN" w:bidi="ar-SA"/>
              </w:rPr>
              <w:drawing>
                <wp:inline distT="0" distB="0" distL="114300" distR="114300">
                  <wp:extent cx="2634615" cy="1684020"/>
                  <wp:effectExtent l="0" t="0" r="13335" b="11430"/>
                  <wp:docPr id="44" name="图片 44" descr="C:/Users/ADMINI~1/AppData/Local/Temp/picturecompress_202102021612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picturecompress_20210202161239/output_1.jpgoutput_1"/>
                          <pic:cNvPicPr>
                            <a:picLocks noChangeAspect="1"/>
                          </pic:cNvPicPr>
                        </pic:nvPicPr>
                        <pic:blipFill>
                          <a:blip r:embed="rId14"/>
                          <a:stretch>
                            <a:fillRect/>
                          </a:stretch>
                        </pic:blipFill>
                        <pic:spPr>
                          <a:xfrm>
                            <a:off x="0" y="0"/>
                            <a:ext cx="2634615" cy="1684020"/>
                          </a:xfrm>
                          <a:prstGeom prst="round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1" w:hRule="atLeast"/>
        </w:trPr>
        <w:tc>
          <w:tcPr>
            <w:tcW w:w="4411" w:type="dxa"/>
          </w:tcPr>
          <w:p>
            <w:pPr>
              <w:rPr>
                <w:rFonts w:hint="eastAsia"/>
                <w:color w:val="auto"/>
                <w:lang w:val="en-US" w:eastAsia="zh-CN"/>
              </w:rPr>
            </w:pPr>
            <w:r>
              <w:rPr>
                <w:rFonts w:hint="eastAsia"/>
                <w:color w:val="auto"/>
                <w:lang w:val="en-US" w:eastAsia="zh-CN"/>
              </w:rPr>
              <w:drawing>
                <wp:inline distT="0" distB="0" distL="114300" distR="114300">
                  <wp:extent cx="2654300" cy="1847215"/>
                  <wp:effectExtent l="0" t="0" r="12700" b="635"/>
                  <wp:docPr id="45" name="图片 45" descr="C:/Users/ADMINI~1/AppData/Local/Temp/picturecompress_202102021612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picturecompress_20210202161255/output_1.jpgoutput_1"/>
                          <pic:cNvPicPr>
                            <a:picLocks noChangeAspect="1"/>
                          </pic:cNvPicPr>
                        </pic:nvPicPr>
                        <pic:blipFill>
                          <a:blip r:embed="rId15"/>
                          <a:stretch>
                            <a:fillRect/>
                          </a:stretch>
                        </pic:blipFill>
                        <pic:spPr>
                          <a:xfrm>
                            <a:off x="0" y="0"/>
                            <a:ext cx="2654300" cy="1847215"/>
                          </a:xfrm>
                          <a:prstGeom prst="roundRect">
                            <a:avLst/>
                          </a:prstGeom>
                        </pic:spPr>
                      </pic:pic>
                    </a:graphicData>
                  </a:graphic>
                </wp:inline>
              </w:drawing>
            </w:r>
          </w:p>
        </w:tc>
        <w:tc>
          <w:tcPr>
            <w:tcW w:w="4359" w:type="dxa"/>
          </w:tcPr>
          <w:p>
            <w:pPr>
              <w:rPr>
                <w:rFonts w:hint="eastAsia" w:ascii="Arial Unicode MS" w:hAnsi="Arial Unicode MS" w:eastAsia="Arial Unicode MS" w:cs="Arial Unicode MS"/>
                <w:b w:val="0"/>
                <w:color w:val="auto"/>
                <w:kern w:val="2"/>
                <w:sz w:val="32"/>
                <w:szCs w:val="32"/>
                <w:lang w:val="en-US" w:eastAsia="zh-CN" w:bidi="ar-SA"/>
              </w:rPr>
            </w:pPr>
            <w:r>
              <w:rPr>
                <w:rFonts w:hint="eastAsia" w:ascii="Arial Unicode MS" w:hAnsi="Arial Unicode MS" w:eastAsia="Arial Unicode MS" w:cs="Arial Unicode MS"/>
                <w:b/>
                <w:color w:val="auto"/>
                <w:sz w:val="32"/>
                <w:szCs w:val="32"/>
                <w:lang w:val="en-US" w:eastAsia="zh-CN"/>
              </w:rPr>
              <w:drawing>
                <wp:inline distT="0" distB="0" distL="114300" distR="114300">
                  <wp:extent cx="2616835" cy="1898650"/>
                  <wp:effectExtent l="0" t="0" r="12065" b="6350"/>
                  <wp:docPr id="46" name="图片 46" descr="C:/Users/ADMINI~1/AppData/Local/Temp/picturecompress_2021020216142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1/AppData/Local/Temp/picturecompress_20210202161429/output_1.jpgoutput_1"/>
                          <pic:cNvPicPr>
                            <a:picLocks noChangeAspect="1"/>
                          </pic:cNvPicPr>
                        </pic:nvPicPr>
                        <pic:blipFill>
                          <a:blip r:embed="rId16"/>
                          <a:stretch>
                            <a:fillRect/>
                          </a:stretch>
                        </pic:blipFill>
                        <pic:spPr>
                          <a:xfrm>
                            <a:off x="0" y="0"/>
                            <a:ext cx="2616835" cy="1898650"/>
                          </a:xfrm>
                          <a:prstGeom prst="roundRect">
                            <a:avLst/>
                          </a:prstGeom>
                        </pic:spPr>
                      </pic:pic>
                    </a:graphicData>
                  </a:graphic>
                </wp:inline>
              </w:drawing>
            </w:r>
          </w:p>
        </w:tc>
      </w:tr>
    </w:tbl>
    <w:p>
      <w:pPr>
        <w:tabs>
          <w:tab w:val="left" w:pos="651"/>
        </w:tabs>
        <w:jc w:val="center"/>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图5 西山公墓回民公益性墓区</w:t>
      </w:r>
    </w:p>
    <w:tbl>
      <w:tblPr>
        <w:tblStyle w:val="10"/>
        <w:tblW w:w="8849"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1" w:hRule="atLeast"/>
        </w:trPr>
        <w:tc>
          <w:tcPr>
            <w:tcW w:w="4569" w:type="dxa"/>
          </w:tcPr>
          <w:p>
            <w:pPr>
              <w:rPr>
                <w:vertAlign w:val="baseline"/>
              </w:rPr>
            </w:pPr>
            <w:r>
              <w:rPr>
                <w:rFonts w:hint="eastAsia" w:ascii="Arial Unicode MS" w:hAnsi="Arial Unicode MS" w:eastAsia="Arial Unicode MS" w:cs="Arial Unicode MS"/>
                <w:color w:val="auto"/>
                <w:sz w:val="32"/>
                <w:szCs w:val="32"/>
                <w:lang w:val="en-US" w:eastAsia="zh-CN"/>
              </w:rPr>
              <w:drawing>
                <wp:inline distT="0" distB="0" distL="114300" distR="114300">
                  <wp:extent cx="2784475" cy="1852295"/>
                  <wp:effectExtent l="0" t="0" r="15875" b="14605"/>
                  <wp:docPr id="10" name="图片 10" descr="C:/Users/ADMINI~1/AppData/Local/Temp/picturecompress_202102040944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picturecompress_20210204094413/output_1.jpgoutput_1"/>
                          <pic:cNvPicPr>
                            <a:picLocks noChangeAspect="1"/>
                          </pic:cNvPicPr>
                        </pic:nvPicPr>
                        <pic:blipFill>
                          <a:blip r:embed="rId17"/>
                          <a:stretch>
                            <a:fillRect/>
                          </a:stretch>
                        </pic:blipFill>
                        <pic:spPr>
                          <a:xfrm>
                            <a:off x="0" y="0"/>
                            <a:ext cx="2784475" cy="1852295"/>
                          </a:xfrm>
                          <a:prstGeom prst="roundRect">
                            <a:avLst/>
                          </a:prstGeom>
                        </pic:spPr>
                      </pic:pic>
                    </a:graphicData>
                  </a:graphic>
                </wp:inline>
              </w:drawing>
            </w:r>
          </w:p>
        </w:tc>
        <w:tc>
          <w:tcPr>
            <w:tcW w:w="4280" w:type="dxa"/>
          </w:tcPr>
          <w:p>
            <w:pPr>
              <w:jc w:val="center"/>
              <w:rPr>
                <w:vertAlign w:val="baseline"/>
              </w:rPr>
            </w:pPr>
            <w:r>
              <w:rPr>
                <w:rFonts w:hint="eastAsia" w:ascii="Arial Unicode MS" w:hAnsi="Arial Unicode MS" w:eastAsia="Arial Unicode MS" w:cs="Arial Unicode MS"/>
                <w:b/>
                <w:color w:val="auto"/>
                <w:sz w:val="32"/>
                <w:szCs w:val="32"/>
                <w:lang w:val="en-US" w:eastAsia="zh-CN"/>
              </w:rPr>
              <w:drawing>
                <wp:inline distT="0" distB="0" distL="114300" distR="114300">
                  <wp:extent cx="2614930" cy="1835785"/>
                  <wp:effectExtent l="0" t="0" r="13970" b="12065"/>
                  <wp:docPr id="14" name="图片 14" descr="C:/Users/ADMINI~1/AppData/Local/Temp/picturecompress_202102040944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picturecompress_20210204094441/output_1.jpgoutput_1"/>
                          <pic:cNvPicPr>
                            <a:picLocks noChangeAspect="1"/>
                          </pic:cNvPicPr>
                        </pic:nvPicPr>
                        <pic:blipFill>
                          <a:blip r:embed="rId18"/>
                          <a:stretch>
                            <a:fillRect/>
                          </a:stretch>
                        </pic:blipFill>
                        <pic:spPr>
                          <a:xfrm>
                            <a:off x="0" y="0"/>
                            <a:ext cx="2614930" cy="1835785"/>
                          </a:xfrm>
                          <a:prstGeom prst="round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9" w:type="dxa"/>
          </w:tcPr>
          <w:p>
            <w:pPr>
              <w:rPr>
                <w:rFonts w:hint="eastAsia" w:ascii="Arial Unicode MS" w:hAnsi="Arial Unicode MS" w:eastAsia="Arial Unicode MS" w:cs="Arial Unicode MS"/>
                <w:color w:val="auto"/>
                <w:sz w:val="32"/>
                <w:szCs w:val="32"/>
                <w:lang w:val="en-US" w:eastAsia="zh-CN"/>
              </w:rPr>
            </w:pPr>
            <w:r>
              <w:rPr>
                <w:rFonts w:hint="eastAsia" w:ascii="Arial Unicode MS" w:hAnsi="Arial Unicode MS" w:eastAsia="Arial Unicode MS" w:cs="Arial Unicode MS"/>
                <w:b/>
                <w:color w:val="auto"/>
                <w:sz w:val="32"/>
                <w:szCs w:val="32"/>
                <w:lang w:val="en-US" w:eastAsia="zh-CN"/>
              </w:rPr>
              <w:drawing>
                <wp:inline distT="0" distB="0" distL="114300" distR="114300">
                  <wp:extent cx="2807970" cy="1645920"/>
                  <wp:effectExtent l="0" t="0" r="11430" b="11430"/>
                  <wp:docPr id="15" name="图片 15" descr="C:/Users/ADMINI~1/AppData/Local/Temp/picturecompress_202102040945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picturecompress_20210204094537/output_1.jpgoutput_1"/>
                          <pic:cNvPicPr>
                            <a:picLocks noChangeAspect="1"/>
                          </pic:cNvPicPr>
                        </pic:nvPicPr>
                        <pic:blipFill>
                          <a:blip r:embed="rId19"/>
                          <a:stretch>
                            <a:fillRect/>
                          </a:stretch>
                        </pic:blipFill>
                        <pic:spPr>
                          <a:xfrm>
                            <a:off x="0" y="0"/>
                            <a:ext cx="2807970" cy="1645920"/>
                          </a:xfrm>
                          <a:prstGeom prst="roundRect">
                            <a:avLst/>
                          </a:prstGeom>
                        </pic:spPr>
                      </pic:pic>
                    </a:graphicData>
                  </a:graphic>
                </wp:inline>
              </w:drawing>
            </w:r>
          </w:p>
        </w:tc>
        <w:tc>
          <w:tcPr>
            <w:tcW w:w="4280" w:type="dxa"/>
          </w:tcPr>
          <w:p>
            <w:pPr>
              <w:jc w:val="center"/>
              <w:rPr>
                <w:rFonts w:hint="eastAsia" w:ascii="Arial Unicode MS" w:hAnsi="Arial Unicode MS" w:eastAsia="Arial Unicode MS" w:cs="Arial Unicode MS"/>
                <w:b/>
                <w:color w:val="auto"/>
                <w:sz w:val="32"/>
                <w:szCs w:val="32"/>
                <w:lang w:val="en-US" w:eastAsia="zh-CN"/>
              </w:rPr>
            </w:pPr>
            <w:r>
              <w:rPr>
                <w:rFonts w:hint="eastAsia" w:ascii="Arial Unicode MS" w:hAnsi="Arial Unicode MS" w:eastAsia="Arial Unicode MS" w:cs="Arial Unicode MS"/>
                <w:b/>
                <w:color w:val="auto"/>
                <w:sz w:val="32"/>
                <w:szCs w:val="32"/>
                <w:lang w:val="en-US" w:eastAsia="zh-CN"/>
              </w:rPr>
              <w:drawing>
                <wp:inline distT="0" distB="0" distL="114300" distR="114300">
                  <wp:extent cx="2604135" cy="1711960"/>
                  <wp:effectExtent l="0" t="0" r="5715" b="2540"/>
                  <wp:docPr id="16" name="图片 16" descr="C:/Users/ADMINI~1/AppData/Local/Temp/picturecompress_202102040946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picturecompress_20210204094651/output_1.jpgoutput_1"/>
                          <pic:cNvPicPr>
                            <a:picLocks noChangeAspect="1"/>
                          </pic:cNvPicPr>
                        </pic:nvPicPr>
                        <pic:blipFill>
                          <a:blip r:embed="rId20"/>
                          <a:stretch>
                            <a:fillRect/>
                          </a:stretch>
                        </pic:blipFill>
                        <pic:spPr>
                          <a:xfrm>
                            <a:off x="0" y="0"/>
                            <a:ext cx="2604135" cy="1711960"/>
                          </a:xfrm>
                          <a:prstGeom prst="roundRect">
                            <a:avLst/>
                          </a:prstGeom>
                        </pic:spPr>
                      </pic:pic>
                    </a:graphicData>
                  </a:graphic>
                </wp:inline>
              </w:drawing>
            </w:r>
          </w:p>
        </w:tc>
      </w:tr>
    </w:tbl>
    <w:p>
      <w:pPr>
        <w:ind w:firstLine="643" w:firstLineChars="200"/>
        <w:rPr>
          <w:rFonts w:hint="eastAsia" w:ascii="方正仿宋_GBK" w:hAnsi="方正仿宋_GBK" w:eastAsia="方正仿宋_GBK" w:cs="方正仿宋_GBK"/>
          <w:color w:val="FF0000"/>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2.</w:t>
      </w:r>
      <w:r>
        <w:rPr>
          <w:rFonts w:hint="eastAsia" w:ascii="方正仿宋_GBK" w:hAnsi="方正仿宋_GBK" w:eastAsia="方正仿宋_GBK" w:cs="方正仿宋_GBK"/>
          <w:b/>
          <w:bCs/>
          <w:color w:val="auto"/>
          <w:kern w:val="2"/>
          <w:sz w:val="32"/>
          <w:szCs w:val="32"/>
          <w:lang w:val="en-US" w:eastAsia="zh-CN" w:bidi="ar-SA"/>
        </w:rPr>
        <w:t>牛首山公墓</w:t>
      </w:r>
      <w:r>
        <w:rPr>
          <w:rFonts w:hint="eastAsia" w:ascii="方正楷体_GBK" w:hAnsi="方正楷体_GBK" w:eastAsia="方正楷体_GBK" w:cs="方正楷体_GBK"/>
          <w:b/>
          <w:bCs/>
          <w:color w:val="auto"/>
          <w:kern w:val="2"/>
          <w:sz w:val="32"/>
          <w:szCs w:val="32"/>
          <w:lang w:val="en-US" w:eastAsia="zh-CN" w:bidi="ar-SA"/>
        </w:rPr>
        <w:t>。</w:t>
      </w:r>
      <w:r>
        <w:rPr>
          <w:rFonts w:hint="eastAsia" w:ascii="方正仿宋_GBK" w:hAnsi="方正仿宋_GBK" w:eastAsia="方正仿宋_GBK" w:cs="方正仿宋_GBK"/>
          <w:color w:val="auto"/>
          <w:kern w:val="2"/>
          <w:sz w:val="32"/>
          <w:szCs w:val="32"/>
          <w:lang w:val="en-US" w:eastAsia="zh-CN" w:bidi="ar-SA"/>
        </w:rPr>
        <w:t>分为汉民经营性墓区和回汉民公益性墓区。</w:t>
      </w:r>
      <w:r>
        <w:rPr>
          <w:rFonts w:hint="default" w:ascii="方正仿宋_GBK" w:hAnsi="方正仿宋_GBK" w:eastAsia="方正仿宋_GBK" w:cs="方正仿宋_GBK"/>
          <w:color w:val="auto"/>
          <w:kern w:val="2"/>
          <w:sz w:val="32"/>
          <w:szCs w:val="32"/>
          <w:lang w:eastAsia="zh-CN" w:bidi="ar-SA"/>
        </w:rPr>
        <w:t>汉民</w:t>
      </w:r>
      <w:r>
        <w:rPr>
          <w:rFonts w:hint="eastAsia" w:ascii="方正仿宋_GBK" w:hAnsi="方正仿宋_GBK" w:eastAsia="方正仿宋_GBK" w:cs="方正仿宋_GBK"/>
          <w:color w:val="auto"/>
          <w:kern w:val="2"/>
          <w:sz w:val="32"/>
          <w:szCs w:val="32"/>
          <w:lang w:val="en-US" w:eastAsia="zh-CN" w:bidi="ar-SA"/>
        </w:rPr>
        <w:t>经营性墓区规划面积1000亩，已使用309亩（墓区占地251亩、道路占地20亩、绿化占地29亩、散埋老坟区占地4亩、基础设施占地5亩），剩余面积691亩。汉民公益性墓区规划面积1500亩，实际面积959亩，剩余面积331亩，存在公墓管护不到位，任由群众随意圈地埋葬，土地浪费极其严重；</w:t>
      </w:r>
      <w:r>
        <w:rPr>
          <w:rFonts w:hint="eastAsia" w:ascii="方正仿宋_GBK" w:hAnsi="方正仿宋_GBK" w:eastAsia="方正仿宋_GBK" w:cs="方正仿宋_GBK"/>
          <w:color w:val="auto"/>
          <w:kern w:val="2"/>
          <w:sz w:val="32"/>
          <w:szCs w:val="32"/>
          <w:highlight w:val="none"/>
          <w:lang w:val="en-US" w:eastAsia="zh-CN" w:bidi="ar-SA"/>
        </w:rPr>
        <w:t xml:space="preserve">回民公益性墓区经市人民政府批准占地面积627亩，已使用99亩（墓区占地52亩，散埋坟占地40亩，道路占地7亩），不可利用地47亩，剩余面积481亩。主要安葬青铜峡市及吴忠市利通区部分回、汉族去世群众的遗体。  </w:t>
      </w:r>
      <w:r>
        <w:rPr>
          <w:rFonts w:hint="eastAsia" w:ascii="方正仿宋_GBK" w:hAnsi="方正仿宋_GBK" w:eastAsia="方正仿宋_GBK" w:cs="方正仿宋_GBK"/>
          <w:color w:val="FF0000"/>
          <w:kern w:val="2"/>
          <w:sz w:val="32"/>
          <w:szCs w:val="32"/>
          <w:highlight w:val="none"/>
          <w:lang w:val="en-US" w:eastAsia="zh-CN" w:bidi="ar-SA"/>
        </w:rPr>
        <w:t xml:space="preserve"> </w:t>
      </w:r>
      <w:r>
        <w:rPr>
          <w:rFonts w:hint="eastAsia" w:ascii="方正仿宋_GBK" w:hAnsi="方正仿宋_GBK" w:eastAsia="方正仿宋_GBK" w:cs="方正仿宋_GBK"/>
          <w:color w:val="FF0000"/>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lang w:val="en-US" w:eastAsia="zh-CN" w:bidi="ar-SA"/>
        </w:rPr>
        <w:t>2013年，牛首山公墓公司报请青铜峡市政府和国土资源厅同意，通过协议出让方式取得经营性墓地45亩。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olor w:val="auto"/>
          <w:lang w:val="en-US" w:eastAsia="zh-CN"/>
        </w:rPr>
      </w:pPr>
      <w:r>
        <w:rPr>
          <w:rFonts w:hint="eastAsia" w:ascii="方正仿宋_GBK" w:hAnsi="方正仿宋_GBK" w:eastAsia="方正仿宋_GBK" w:cs="方正仿宋_GBK"/>
          <w:color w:val="auto"/>
          <w:kern w:val="2"/>
          <w:sz w:val="32"/>
          <w:szCs w:val="32"/>
          <w:highlight w:val="none"/>
          <w:lang w:val="en-US" w:eastAsia="zh-CN" w:bidi="ar-SA"/>
        </w:rPr>
        <w:t>2022年，</w:t>
      </w:r>
      <w:r>
        <w:rPr>
          <w:rFonts w:hint="eastAsia" w:ascii="方正仿宋_GBK" w:hAnsi="方正仿宋_GBK" w:eastAsia="方正仿宋_GBK" w:cs="方正仿宋_GBK"/>
          <w:color w:val="auto"/>
          <w:kern w:val="2"/>
          <w:sz w:val="32"/>
          <w:szCs w:val="32"/>
          <w:lang w:val="en-US" w:eastAsia="zh-CN" w:bidi="ar-SA"/>
        </w:rPr>
        <w:t>根据青铜峡市人民政府《专题会议纪要》（39号），牛首山公墓通过协议出让方式再次取得53.74亩的经营性殡葬用地。</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图6 牛首山公墓汉民经营性墓区</w:t>
      </w:r>
    </w:p>
    <w:tbl>
      <w:tblPr>
        <w:tblStyle w:val="10"/>
        <w:tblW w:w="82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8"/>
        <w:gridCol w:w="3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8" w:hRule="atLeast"/>
          <w:jc w:val="center"/>
        </w:trPr>
        <w:tc>
          <w:tcPr>
            <w:tcW w:w="4288" w:type="dxa"/>
            <w:vAlign w:val="top"/>
          </w:tcPr>
          <w:p>
            <w:pPr>
              <w:pStyle w:val="4"/>
              <w:jc w:val="center"/>
              <w:rPr>
                <w:rFonts w:hint="eastAsia" w:ascii="Arial Unicode MS" w:hAnsi="Arial Unicode MS" w:eastAsia="Arial Unicode MS" w:cs="Arial Unicode MS"/>
                <w:b/>
                <w:color w:val="auto"/>
                <w:sz w:val="32"/>
                <w:szCs w:val="32"/>
                <w:vertAlign w:val="baseline"/>
                <w:lang w:val="en-US" w:eastAsia="zh-CN"/>
              </w:rPr>
            </w:pPr>
            <w:r>
              <w:rPr>
                <w:rFonts w:hint="eastAsia" w:ascii="Arial Unicode MS" w:hAnsi="Arial Unicode MS" w:eastAsia="Arial Unicode MS" w:cs="Arial Unicode MS"/>
                <w:color w:val="auto"/>
                <w:sz w:val="32"/>
                <w:szCs w:val="32"/>
                <w:lang w:val="en-US" w:eastAsia="zh-CN"/>
              </w:rPr>
              <w:drawing>
                <wp:inline distT="0" distB="0" distL="114300" distR="114300">
                  <wp:extent cx="2675890" cy="1666875"/>
                  <wp:effectExtent l="0" t="0" r="10160" b="9525"/>
                  <wp:docPr id="3" name="图片 3" descr="C:/Users/ADMINI~1/AppData/Local/Temp/picturecompress_202102021718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picturecompress_20210202171823/output_1.jpgoutput_1"/>
                          <pic:cNvPicPr>
                            <a:picLocks noChangeAspect="1"/>
                          </pic:cNvPicPr>
                        </pic:nvPicPr>
                        <pic:blipFill>
                          <a:blip r:embed="rId21"/>
                          <a:stretch>
                            <a:fillRect/>
                          </a:stretch>
                        </pic:blipFill>
                        <pic:spPr>
                          <a:xfrm>
                            <a:off x="0" y="0"/>
                            <a:ext cx="2675890" cy="1666875"/>
                          </a:xfrm>
                          <a:prstGeom prst="roundRect">
                            <a:avLst/>
                          </a:prstGeom>
                        </pic:spPr>
                      </pic:pic>
                    </a:graphicData>
                  </a:graphic>
                </wp:inline>
              </w:drawing>
            </w:r>
          </w:p>
        </w:tc>
        <w:tc>
          <w:tcPr>
            <w:tcW w:w="3964" w:type="dxa"/>
            <w:vAlign w:val="top"/>
          </w:tcPr>
          <w:p>
            <w:pPr>
              <w:pStyle w:val="4"/>
              <w:jc w:val="center"/>
              <w:rPr>
                <w:rFonts w:hint="eastAsia" w:ascii="Arial Unicode MS" w:hAnsi="Arial Unicode MS" w:eastAsia="Arial Unicode MS" w:cs="Arial Unicode MS"/>
                <w:b/>
                <w:color w:val="auto"/>
                <w:sz w:val="32"/>
                <w:szCs w:val="32"/>
                <w:vertAlign w:val="baseline"/>
                <w:lang w:val="en-US" w:eastAsia="zh-CN"/>
              </w:rPr>
            </w:pPr>
            <w:r>
              <w:rPr>
                <w:rFonts w:hint="eastAsia" w:ascii="Arial Unicode MS" w:hAnsi="Arial Unicode MS" w:eastAsia="Arial Unicode MS" w:cs="Arial Unicode MS"/>
                <w:b w:val="0"/>
                <w:color w:val="auto"/>
                <w:kern w:val="2"/>
                <w:sz w:val="32"/>
                <w:szCs w:val="32"/>
                <w:lang w:val="en-US" w:eastAsia="zh-CN" w:bidi="ar-SA"/>
              </w:rPr>
              <w:drawing>
                <wp:inline distT="0" distB="0" distL="114300" distR="114300">
                  <wp:extent cx="2507615" cy="1658620"/>
                  <wp:effectExtent l="0" t="0" r="6985" b="17780"/>
                  <wp:docPr id="12" name="图片 12" descr="C:/Users/ADMINI~1/AppData/Local/Temp/picturecompress_202102021721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picturecompress_20210202172147/output_1.jpgoutput_1"/>
                          <pic:cNvPicPr>
                            <a:picLocks noChangeAspect="1"/>
                          </pic:cNvPicPr>
                        </pic:nvPicPr>
                        <pic:blipFill>
                          <a:blip r:embed="rId22"/>
                          <a:stretch>
                            <a:fillRect/>
                          </a:stretch>
                        </pic:blipFill>
                        <pic:spPr>
                          <a:xfrm>
                            <a:off x="0" y="0"/>
                            <a:ext cx="2507615" cy="1658620"/>
                          </a:xfrm>
                          <a:prstGeom prst="round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7" w:hRule="atLeast"/>
          <w:jc w:val="center"/>
        </w:trPr>
        <w:tc>
          <w:tcPr>
            <w:tcW w:w="4288" w:type="dxa"/>
            <w:vAlign w:val="top"/>
          </w:tcPr>
          <w:p>
            <w:pPr>
              <w:pStyle w:val="4"/>
              <w:jc w:val="center"/>
              <w:rPr>
                <w:rFonts w:hint="eastAsia" w:ascii="Arial Unicode MS" w:hAnsi="Arial Unicode MS" w:eastAsia="Arial Unicode MS" w:cs="Arial Unicode MS"/>
                <w:color w:val="auto"/>
                <w:sz w:val="32"/>
                <w:szCs w:val="32"/>
                <w:lang w:val="en-US" w:eastAsia="zh-CN"/>
              </w:rPr>
            </w:pPr>
            <w:r>
              <w:rPr>
                <w:rFonts w:hint="eastAsia" w:ascii="Arial Unicode MS" w:hAnsi="Arial Unicode MS" w:eastAsia="Arial Unicode MS" w:cs="Arial Unicode MS"/>
                <w:b w:val="0"/>
                <w:color w:val="auto"/>
                <w:kern w:val="2"/>
                <w:sz w:val="32"/>
                <w:szCs w:val="32"/>
                <w:lang w:val="en-US" w:eastAsia="zh-CN" w:bidi="ar-SA"/>
              </w:rPr>
              <w:drawing>
                <wp:inline distT="0" distB="0" distL="114300" distR="114300">
                  <wp:extent cx="2548255" cy="1849755"/>
                  <wp:effectExtent l="0" t="0" r="4445" b="17145"/>
                  <wp:docPr id="11" name="图片 11" descr="IMG_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721"/>
                          <pic:cNvPicPr>
                            <a:picLocks noChangeAspect="1"/>
                          </pic:cNvPicPr>
                        </pic:nvPicPr>
                        <pic:blipFill>
                          <a:blip r:embed="rId23"/>
                          <a:stretch>
                            <a:fillRect/>
                          </a:stretch>
                        </pic:blipFill>
                        <pic:spPr>
                          <a:xfrm>
                            <a:off x="0" y="0"/>
                            <a:ext cx="2548255" cy="1849755"/>
                          </a:xfrm>
                          <a:prstGeom prst="roundRect">
                            <a:avLst/>
                          </a:prstGeom>
                        </pic:spPr>
                      </pic:pic>
                    </a:graphicData>
                  </a:graphic>
                </wp:inline>
              </w:drawing>
            </w:r>
          </w:p>
        </w:tc>
        <w:tc>
          <w:tcPr>
            <w:tcW w:w="3964" w:type="dxa"/>
            <w:vAlign w:val="top"/>
          </w:tcPr>
          <w:p>
            <w:pPr>
              <w:pStyle w:val="4"/>
              <w:jc w:val="center"/>
              <w:rPr>
                <w:rFonts w:hint="eastAsia" w:ascii="Arial Unicode MS" w:hAnsi="Arial Unicode MS" w:eastAsia="Arial Unicode MS" w:cs="Arial Unicode MS"/>
                <w:b w:val="0"/>
                <w:color w:val="auto"/>
                <w:kern w:val="2"/>
                <w:sz w:val="32"/>
                <w:szCs w:val="32"/>
                <w:lang w:val="en-US" w:eastAsia="zh-CN" w:bidi="ar-SA"/>
              </w:rPr>
            </w:pPr>
            <w:r>
              <w:rPr>
                <w:rFonts w:hint="eastAsia" w:ascii="Arial Unicode MS" w:hAnsi="Arial Unicode MS" w:eastAsia="Arial Unicode MS" w:cs="Arial Unicode MS"/>
                <w:b w:val="0"/>
                <w:color w:val="auto"/>
                <w:kern w:val="2"/>
                <w:sz w:val="32"/>
                <w:szCs w:val="32"/>
                <w:lang w:val="en-US" w:eastAsia="zh-CN" w:bidi="ar-SA"/>
              </w:rPr>
              <w:drawing>
                <wp:inline distT="0" distB="0" distL="114300" distR="114300">
                  <wp:extent cx="2329180" cy="1830070"/>
                  <wp:effectExtent l="0" t="0" r="13970" b="17780"/>
                  <wp:docPr id="13" name="图片 13" descr="C:/Users/ADMINI~1/AppData/Local/Temp/picturecompress_202102021722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picturecompress_20210202172239/output_1.jpgoutput_1"/>
                          <pic:cNvPicPr>
                            <a:picLocks noChangeAspect="1"/>
                          </pic:cNvPicPr>
                        </pic:nvPicPr>
                        <pic:blipFill>
                          <a:blip r:embed="rId24"/>
                          <a:stretch>
                            <a:fillRect/>
                          </a:stretch>
                        </pic:blipFill>
                        <pic:spPr>
                          <a:xfrm>
                            <a:off x="0" y="0"/>
                            <a:ext cx="2329180" cy="1830070"/>
                          </a:xfrm>
                          <a:prstGeom prst="round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图7牛首山公墓汉民公益性墓区</w:t>
      </w:r>
    </w:p>
    <w:tbl>
      <w:tblPr>
        <w:tblStyle w:val="10"/>
        <w:tblW w:w="8270"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0"/>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9" w:hRule="atLeast"/>
        </w:trPr>
        <w:tc>
          <w:tcPr>
            <w:tcW w:w="4200" w:type="dxa"/>
          </w:tcPr>
          <w:p>
            <w:pPr>
              <w:pStyle w:val="2"/>
              <w:jc w:val="center"/>
              <w:rPr>
                <w:rFonts w:hint="eastAsia"/>
                <w:vertAlign w:val="baseline"/>
                <w:lang w:val="en-US" w:eastAsia="zh-CN"/>
              </w:rPr>
            </w:pPr>
            <w:r>
              <w:rPr>
                <w:rFonts w:hint="eastAsia" w:ascii="Arial Unicode MS" w:hAnsi="Arial Unicode MS" w:eastAsia="Arial Unicode MS" w:cs="Arial Unicode MS"/>
                <w:b/>
                <w:bCs/>
                <w:color w:val="auto"/>
                <w:kern w:val="2"/>
                <w:sz w:val="32"/>
                <w:szCs w:val="32"/>
                <w:highlight w:val="none"/>
                <w:lang w:val="en-US" w:eastAsia="zh-CN" w:bidi="ar-SA"/>
              </w:rPr>
              <w:drawing>
                <wp:inline distT="0" distB="0" distL="114300" distR="114300">
                  <wp:extent cx="2543810" cy="1707515"/>
                  <wp:effectExtent l="0" t="0" r="8890" b="6985"/>
                  <wp:docPr id="23" name="图片 23" descr="C:/Users/ADMINI~1/AppData/Local/Temp/picturecompress_202102021801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picturecompress_20210202180112/output_1.jpgoutput_1"/>
                          <pic:cNvPicPr>
                            <a:picLocks noChangeAspect="1"/>
                          </pic:cNvPicPr>
                        </pic:nvPicPr>
                        <pic:blipFill>
                          <a:blip r:embed="rId25"/>
                          <a:stretch>
                            <a:fillRect/>
                          </a:stretch>
                        </pic:blipFill>
                        <pic:spPr>
                          <a:xfrm>
                            <a:off x="0" y="0"/>
                            <a:ext cx="2543810" cy="1707515"/>
                          </a:xfrm>
                          <a:prstGeom prst="roundRect">
                            <a:avLst/>
                          </a:prstGeom>
                        </pic:spPr>
                      </pic:pic>
                    </a:graphicData>
                  </a:graphic>
                </wp:inline>
              </w:drawing>
            </w:r>
          </w:p>
        </w:tc>
        <w:tc>
          <w:tcPr>
            <w:tcW w:w="4070" w:type="dxa"/>
          </w:tcPr>
          <w:p>
            <w:pPr>
              <w:pStyle w:val="2"/>
              <w:jc w:val="center"/>
              <w:rPr>
                <w:rFonts w:hint="eastAsia"/>
                <w:vertAlign w:val="baseline"/>
                <w:lang w:val="en-US" w:eastAsia="zh-CN"/>
              </w:rPr>
            </w:pPr>
            <w:r>
              <w:rPr>
                <w:rFonts w:hint="eastAsia" w:ascii="Arial Unicode MS" w:hAnsi="Arial Unicode MS" w:eastAsia="Arial Unicode MS" w:cs="Arial Unicode MS"/>
                <w:b/>
                <w:bCs/>
                <w:color w:val="auto"/>
                <w:kern w:val="2"/>
                <w:sz w:val="32"/>
                <w:szCs w:val="32"/>
                <w:highlight w:val="none"/>
                <w:lang w:val="en-US" w:eastAsia="zh-CN" w:bidi="ar-SA"/>
              </w:rPr>
              <w:drawing>
                <wp:inline distT="0" distB="0" distL="114300" distR="114300">
                  <wp:extent cx="2443480" cy="1737995"/>
                  <wp:effectExtent l="0" t="0" r="13970" b="14605"/>
                  <wp:docPr id="2" name="图片 2" descr="C:/Users/ADMINI~1/AppData/Local/Temp/picturecompress_202102021803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picturecompress_20210202180340/output_1.jpgoutput_1"/>
                          <pic:cNvPicPr>
                            <a:picLocks noChangeAspect="1"/>
                          </pic:cNvPicPr>
                        </pic:nvPicPr>
                        <pic:blipFill>
                          <a:blip r:embed="rId26"/>
                          <a:stretch>
                            <a:fillRect/>
                          </a:stretch>
                        </pic:blipFill>
                        <pic:spPr>
                          <a:xfrm>
                            <a:off x="0" y="0"/>
                            <a:ext cx="2443480" cy="1737995"/>
                          </a:xfrm>
                          <a:prstGeom prst="round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图8 牛首山公墓回民公益性墓区</w:t>
      </w:r>
    </w:p>
    <w:tbl>
      <w:tblPr>
        <w:tblStyle w:val="10"/>
        <w:tblW w:w="8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3"/>
        <w:gridCol w:w="4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8" w:hRule="atLeast"/>
          <w:jc w:val="center"/>
        </w:trPr>
        <w:tc>
          <w:tcPr>
            <w:tcW w:w="4043" w:type="dxa"/>
            <w:vAlign w:val="top"/>
          </w:tcPr>
          <w:p>
            <w:pPr>
              <w:pStyle w:val="4"/>
              <w:jc w:val="center"/>
              <w:rPr>
                <w:rFonts w:hint="eastAsia" w:ascii="Arial Unicode MS" w:hAnsi="Arial Unicode MS" w:eastAsia="Arial Unicode MS" w:cs="Arial Unicode MS"/>
                <w:color w:val="auto"/>
                <w:sz w:val="32"/>
                <w:szCs w:val="32"/>
                <w:lang w:val="en-US" w:eastAsia="zh-CN"/>
              </w:rPr>
            </w:pPr>
            <w:r>
              <w:rPr>
                <w:rFonts w:hint="eastAsia" w:ascii="Arial Unicode MS" w:hAnsi="Arial Unicode MS" w:eastAsia="Arial Unicode MS" w:cs="Arial Unicode MS"/>
                <w:b/>
                <w:color w:val="auto"/>
                <w:sz w:val="32"/>
                <w:szCs w:val="32"/>
                <w:lang w:val="en-US" w:eastAsia="zh-CN"/>
              </w:rPr>
              <w:drawing>
                <wp:inline distT="0" distB="0" distL="114300" distR="114300">
                  <wp:extent cx="2302510" cy="1780540"/>
                  <wp:effectExtent l="0" t="0" r="2540" b="10160"/>
                  <wp:docPr id="37" name="图片 37" descr="C:/Users/ADMINI~1/AppData/Local/Temp/picturecompress_202102041027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picturecompress_20210204102714/output_1.jpgoutput_1"/>
                          <pic:cNvPicPr>
                            <a:picLocks noChangeAspect="1"/>
                          </pic:cNvPicPr>
                        </pic:nvPicPr>
                        <pic:blipFill>
                          <a:blip r:embed="rId27"/>
                          <a:stretch>
                            <a:fillRect/>
                          </a:stretch>
                        </pic:blipFill>
                        <pic:spPr>
                          <a:xfrm>
                            <a:off x="0" y="0"/>
                            <a:ext cx="2302510" cy="1780540"/>
                          </a:xfrm>
                          <a:prstGeom prst="roundRect">
                            <a:avLst/>
                          </a:prstGeom>
                        </pic:spPr>
                      </pic:pic>
                    </a:graphicData>
                  </a:graphic>
                </wp:inline>
              </w:drawing>
            </w:r>
          </w:p>
        </w:tc>
        <w:tc>
          <w:tcPr>
            <w:tcW w:w="4398" w:type="dxa"/>
            <w:vAlign w:val="top"/>
          </w:tcPr>
          <w:p>
            <w:pPr>
              <w:pStyle w:val="4"/>
              <w:jc w:val="center"/>
              <w:rPr>
                <w:rFonts w:hint="eastAsia" w:ascii="Arial Unicode MS" w:hAnsi="Arial Unicode MS" w:eastAsia="Arial Unicode MS" w:cs="Arial Unicode MS"/>
                <w:b w:val="0"/>
                <w:color w:val="auto"/>
                <w:kern w:val="2"/>
                <w:sz w:val="32"/>
                <w:szCs w:val="32"/>
                <w:lang w:val="en-US" w:eastAsia="zh-CN" w:bidi="ar-SA"/>
              </w:rPr>
            </w:pPr>
            <w:r>
              <w:rPr>
                <w:rFonts w:hint="eastAsia" w:ascii="Arial Unicode MS" w:hAnsi="Arial Unicode MS" w:eastAsia="Arial Unicode MS" w:cs="Arial Unicode MS"/>
                <w:b/>
                <w:color w:val="auto"/>
                <w:sz w:val="32"/>
                <w:szCs w:val="32"/>
                <w:lang w:val="en-US" w:eastAsia="zh-CN"/>
              </w:rPr>
              <w:drawing>
                <wp:inline distT="0" distB="0" distL="114300" distR="114300">
                  <wp:extent cx="2682875" cy="1755140"/>
                  <wp:effectExtent l="0" t="0" r="9525" b="10160"/>
                  <wp:docPr id="38" name="图片 38" descr="C:/Users/ADMINI~1/AppData/Local/Temp/picturecompress_202102041027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picturecompress_20210204102734/output_1.jpgoutput_1"/>
                          <pic:cNvPicPr>
                            <a:picLocks noChangeAspect="1"/>
                          </pic:cNvPicPr>
                        </pic:nvPicPr>
                        <pic:blipFill>
                          <a:blip r:embed="rId28"/>
                          <a:stretch>
                            <a:fillRect/>
                          </a:stretch>
                        </pic:blipFill>
                        <pic:spPr>
                          <a:xfrm>
                            <a:off x="0" y="0"/>
                            <a:ext cx="2682875" cy="1755140"/>
                          </a:xfrm>
                          <a:prstGeom prst="roundRect">
                            <a:avLst/>
                          </a:prstGeom>
                        </pic:spPr>
                      </pic:pic>
                    </a:graphicData>
                  </a:graphic>
                </wp:inline>
              </w:drawing>
            </w:r>
          </w:p>
        </w:tc>
      </w:tr>
    </w:tbl>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before="157" w:beforeLines="50"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3.铝厂公墓。</w:t>
      </w:r>
      <w:r>
        <w:rPr>
          <w:rFonts w:hint="eastAsia" w:ascii="方正仿宋_GBK" w:hAnsi="方正仿宋_GBK" w:eastAsia="方正仿宋_GBK" w:cs="方正仿宋_GBK"/>
          <w:color w:val="auto"/>
          <w:kern w:val="2"/>
          <w:sz w:val="32"/>
          <w:szCs w:val="32"/>
          <w:lang w:val="en-US" w:eastAsia="zh-CN" w:bidi="ar-SA"/>
        </w:rPr>
        <w:t>位于金沙湾旅游区东北侧，占地面积1693亩，主要安葬铝厂职工及其家属。2001年10月23日，青铜峡铝业集团办理该片土地使用权，土地性质为殡葬用地。2017年交由市民政局管理。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2020年12月，经实地调查测绘，实测面积为1693亩，因公墓管护不到位，任由群众随意圈地埋葬，土地浪费严重，已埋散坟地占地4</w:t>
      </w:r>
      <w:r>
        <w:rPr>
          <w:rFonts w:hint="eastAsia" w:ascii="方正仿宋_GBK" w:hAnsi="方正仿宋_GBK" w:eastAsia="方正仿宋_GBK" w:cs="方正仿宋_GBK"/>
          <w:color w:val="auto"/>
          <w:spacing w:val="-11"/>
          <w:kern w:val="2"/>
          <w:sz w:val="32"/>
          <w:szCs w:val="32"/>
          <w:lang w:val="en-US" w:eastAsia="zh-CN" w:bidi="ar-SA"/>
        </w:rPr>
        <w:t>00亩，道路占地36亩，不可利用地420亩，公墓剩余可利用地837亩。</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图9 铝厂公墓</w:t>
      </w:r>
    </w:p>
    <w:tbl>
      <w:tblPr>
        <w:tblStyle w:val="10"/>
        <w:tblW w:w="84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5"/>
        <w:gridCol w:w="4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3" w:hRule="atLeast"/>
          <w:jc w:val="center"/>
        </w:trPr>
        <w:tc>
          <w:tcPr>
            <w:tcW w:w="4235" w:type="dxa"/>
            <w:vAlign w:val="top"/>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Arial Unicode MS" w:hAnsi="Arial Unicode MS" w:eastAsia="Arial Unicode MS" w:cs="Arial Unicode MS"/>
                <w:b/>
                <w:color w:val="auto"/>
                <w:sz w:val="32"/>
                <w:szCs w:val="32"/>
                <w:vertAlign w:val="baseline"/>
                <w:lang w:val="en-US" w:eastAsia="zh-CN"/>
              </w:rPr>
            </w:pPr>
            <w:r>
              <w:rPr>
                <w:rFonts w:hint="eastAsia" w:ascii="Arial Unicode MS" w:hAnsi="Arial Unicode MS" w:eastAsia="Arial Unicode MS" w:cs="Arial Unicode MS"/>
                <w:b/>
                <w:color w:val="auto"/>
                <w:sz w:val="32"/>
                <w:szCs w:val="32"/>
                <w:lang w:val="en-US" w:eastAsia="zh-CN"/>
              </w:rPr>
              <w:drawing>
                <wp:inline distT="0" distB="0" distL="114300" distR="114300">
                  <wp:extent cx="2557145" cy="1754505"/>
                  <wp:effectExtent l="0" t="0" r="14605" b="17145"/>
                  <wp:docPr id="36" name="图片 36" descr="C:/Users/ADMINI~1/AppData/Local/Temp/picturecompress_202102041023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picturecompress_20210204102336/output_1.jpgoutput_1"/>
                          <pic:cNvPicPr>
                            <a:picLocks noChangeAspect="1"/>
                          </pic:cNvPicPr>
                        </pic:nvPicPr>
                        <pic:blipFill>
                          <a:blip r:embed="rId29"/>
                          <a:stretch>
                            <a:fillRect/>
                          </a:stretch>
                        </pic:blipFill>
                        <pic:spPr>
                          <a:xfrm>
                            <a:off x="0" y="0"/>
                            <a:ext cx="2557145" cy="1754505"/>
                          </a:xfrm>
                          <a:prstGeom prst="roundRect">
                            <a:avLst/>
                          </a:prstGeom>
                        </pic:spPr>
                      </pic:pic>
                    </a:graphicData>
                  </a:graphic>
                </wp:inline>
              </w:drawing>
            </w:r>
          </w:p>
        </w:tc>
        <w:tc>
          <w:tcPr>
            <w:tcW w:w="4198" w:type="dxa"/>
            <w:vAlign w:val="top"/>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Arial Unicode MS" w:hAnsi="Arial Unicode MS" w:eastAsia="Arial Unicode MS" w:cs="Arial Unicode MS"/>
                <w:b/>
                <w:color w:val="auto"/>
                <w:sz w:val="32"/>
                <w:szCs w:val="32"/>
                <w:vertAlign w:val="baseline"/>
                <w:lang w:val="en-US" w:eastAsia="zh-CN"/>
              </w:rPr>
            </w:pPr>
            <w:r>
              <w:rPr>
                <w:rFonts w:hint="eastAsia" w:ascii="Arial Unicode MS" w:hAnsi="Arial Unicode MS" w:eastAsia="Arial Unicode MS" w:cs="Arial Unicode MS"/>
                <w:b/>
                <w:color w:val="auto"/>
                <w:sz w:val="32"/>
                <w:szCs w:val="32"/>
                <w:lang w:val="en-US" w:eastAsia="zh-CN"/>
              </w:rPr>
              <w:drawing>
                <wp:inline distT="0" distB="0" distL="114300" distR="114300">
                  <wp:extent cx="2550795" cy="1727835"/>
                  <wp:effectExtent l="0" t="0" r="1905" b="5715"/>
                  <wp:docPr id="35" name="图片 35" descr="C:/Users/ADMINI~1/AppData/Local/Temp/picturecompress_202102041022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picturecompress_20210204102258/output_1.jpgoutput_1"/>
                          <pic:cNvPicPr>
                            <a:picLocks noChangeAspect="1"/>
                          </pic:cNvPicPr>
                        </pic:nvPicPr>
                        <pic:blipFill>
                          <a:blip r:embed="rId30"/>
                          <a:stretch>
                            <a:fillRect/>
                          </a:stretch>
                        </pic:blipFill>
                        <pic:spPr>
                          <a:xfrm>
                            <a:off x="0" y="0"/>
                            <a:ext cx="2550795" cy="1727835"/>
                          </a:xfrm>
                          <a:prstGeom prst="roundRect">
                            <a:avLst/>
                          </a:prstGeom>
                        </pic:spPr>
                      </pic:pic>
                    </a:graphicData>
                  </a:graphic>
                </wp:inline>
              </w:drawing>
            </w:r>
          </w:p>
        </w:tc>
      </w:tr>
    </w:tbl>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4.臭泉沟公益性公墓</w:t>
      </w:r>
      <w:r>
        <w:rPr>
          <w:rFonts w:hint="eastAsia" w:ascii="方正楷体_GBK" w:hAnsi="方正楷体_GBK" w:eastAsia="方正楷体_GBK" w:cs="方正楷体_GBK"/>
          <w:b/>
          <w:bCs/>
          <w:color w:val="auto"/>
          <w:kern w:val="2"/>
          <w:sz w:val="32"/>
          <w:szCs w:val="32"/>
          <w:lang w:val="en-US" w:eastAsia="zh-CN" w:bidi="ar-SA"/>
        </w:rPr>
        <w:t>。</w:t>
      </w:r>
      <w:r>
        <w:rPr>
          <w:rFonts w:hint="eastAsia" w:ascii="方正仿宋_GBK" w:hAnsi="方正仿宋_GBK" w:eastAsia="方正仿宋_GBK" w:cs="方正仿宋_GBK"/>
          <w:color w:val="auto"/>
          <w:kern w:val="2"/>
          <w:sz w:val="32"/>
          <w:szCs w:val="32"/>
          <w:lang w:val="en-US" w:eastAsia="zh-CN" w:bidi="ar-SA"/>
        </w:rPr>
        <w:t>位于青铜峡镇南3公里臭泉沟、五大台处，是自然形成的回族集中埋葬区。主要安葬青铜峡镇、峡口镇部分去世回族群众。公墓无明确四址，整个墓区散埋乱埋现象严重，墓地集中区域主要在北侧五大台和南侧大沟井处，其中已建墓地占地32亩，散坟地占地30亩。</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图10 臭泉沟公益性公墓</w:t>
      </w:r>
    </w:p>
    <w:tbl>
      <w:tblPr>
        <w:tblStyle w:val="10"/>
        <w:tblW w:w="85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7"/>
        <w:gridCol w:w="4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1" w:hRule="atLeast"/>
          <w:jc w:val="center"/>
        </w:trPr>
        <w:tc>
          <w:tcPr>
            <w:tcW w:w="4357" w:type="dxa"/>
            <w:vAlign w:val="top"/>
          </w:tcPr>
          <w:p>
            <w:pPr>
              <w:pStyle w:val="4"/>
              <w:keepNext w:val="0"/>
              <w:keepLines w:val="0"/>
              <w:pageBreakBefore w:val="0"/>
              <w:widowControl w:val="0"/>
              <w:kinsoku/>
              <w:wordWrap/>
              <w:overflowPunct/>
              <w:topLinePunct w:val="0"/>
              <w:autoSpaceDE/>
              <w:autoSpaceDN/>
              <w:bidi w:val="0"/>
              <w:adjustRightInd/>
              <w:snapToGrid w:val="0"/>
              <w:textAlignment w:val="auto"/>
              <w:rPr>
                <w:rFonts w:hint="eastAsia" w:ascii="Arial Unicode MS" w:hAnsi="Arial Unicode MS" w:eastAsia="Arial Unicode MS" w:cs="Arial Unicode MS"/>
                <w:color w:val="auto"/>
                <w:sz w:val="32"/>
                <w:szCs w:val="32"/>
                <w:vertAlign w:val="baseline"/>
                <w:lang w:val="en-US" w:eastAsia="zh-CN"/>
              </w:rPr>
            </w:pPr>
            <w:r>
              <w:rPr>
                <w:rFonts w:hint="eastAsia" w:ascii="Arial Unicode MS" w:hAnsi="Arial Unicode MS" w:eastAsia="Arial Unicode MS" w:cs="Arial Unicode MS"/>
                <w:b/>
                <w:bCs/>
                <w:color w:val="auto"/>
                <w:kern w:val="2"/>
                <w:sz w:val="32"/>
                <w:szCs w:val="32"/>
                <w:lang w:val="en-US" w:eastAsia="zh-CN" w:bidi="ar-SA"/>
              </w:rPr>
              <w:drawing>
                <wp:inline distT="0" distB="0" distL="114300" distR="114300">
                  <wp:extent cx="2631440" cy="1758950"/>
                  <wp:effectExtent l="0" t="0" r="16510" b="12700"/>
                  <wp:docPr id="39" name="图片 39" descr="C:/Users/ADMINI~1/AppData/Local/Temp/picturecompress_202102041030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picturecompress_20210204103043/output_1.jpgoutput_1"/>
                          <pic:cNvPicPr>
                            <a:picLocks noChangeAspect="1"/>
                          </pic:cNvPicPr>
                        </pic:nvPicPr>
                        <pic:blipFill>
                          <a:blip r:embed="rId31"/>
                          <a:stretch>
                            <a:fillRect/>
                          </a:stretch>
                        </pic:blipFill>
                        <pic:spPr>
                          <a:xfrm>
                            <a:off x="0" y="0"/>
                            <a:ext cx="2631440" cy="1758950"/>
                          </a:xfrm>
                          <a:prstGeom prst="roundRect">
                            <a:avLst/>
                          </a:prstGeom>
                        </pic:spPr>
                      </pic:pic>
                    </a:graphicData>
                  </a:graphic>
                </wp:inline>
              </w:drawing>
            </w:r>
          </w:p>
        </w:tc>
        <w:tc>
          <w:tcPr>
            <w:tcW w:w="4237" w:type="dxa"/>
            <w:vAlign w:val="top"/>
          </w:tcPr>
          <w:p>
            <w:pPr>
              <w:pStyle w:val="4"/>
              <w:rPr>
                <w:rFonts w:hint="eastAsia" w:ascii="Arial Unicode MS" w:hAnsi="Arial Unicode MS" w:eastAsia="Arial Unicode MS" w:cs="Arial Unicode MS"/>
                <w:color w:val="auto"/>
                <w:sz w:val="32"/>
                <w:szCs w:val="32"/>
                <w:vertAlign w:val="baseline"/>
                <w:lang w:val="en-US" w:eastAsia="zh-CN"/>
              </w:rPr>
            </w:pPr>
            <w:r>
              <w:rPr>
                <w:rFonts w:hint="eastAsia" w:ascii="Arial Unicode MS" w:hAnsi="Arial Unicode MS" w:eastAsia="Arial Unicode MS" w:cs="Arial Unicode MS"/>
                <w:b w:val="0"/>
                <w:color w:val="auto"/>
                <w:kern w:val="2"/>
                <w:sz w:val="32"/>
                <w:szCs w:val="32"/>
                <w:lang w:val="en-US" w:eastAsia="zh-CN" w:bidi="ar-SA"/>
              </w:rPr>
              <w:drawing>
                <wp:inline distT="0" distB="0" distL="114300" distR="114300">
                  <wp:extent cx="2501900" cy="1775460"/>
                  <wp:effectExtent l="0" t="0" r="12700" b="15240"/>
                  <wp:docPr id="40" name="图片 40" descr="C:/Users/ADMINI~1/AppData/Local/Temp/picturecompress_202102041031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picturecompress_20210204103139/output_1.jpgoutput_1"/>
                          <pic:cNvPicPr>
                            <a:picLocks noChangeAspect="1"/>
                          </pic:cNvPicPr>
                        </pic:nvPicPr>
                        <pic:blipFill>
                          <a:blip r:embed="rId32"/>
                          <a:stretch>
                            <a:fillRect/>
                          </a:stretch>
                        </pic:blipFill>
                        <pic:spPr>
                          <a:xfrm>
                            <a:off x="0" y="0"/>
                            <a:ext cx="2501900" cy="1775460"/>
                          </a:xfrm>
                          <a:prstGeom prst="round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综上所述，青铜峡市现有公墓总面积为6962亩，已利用3006亩，不可利用542亩，实际剩余可使用面积3476亩。详见表2。</w:t>
      </w:r>
    </w:p>
    <w:p>
      <w:pPr>
        <w:jc w:val="center"/>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  青铜峡市殡葬用地现状情况统计表</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 xml:space="preserve">   单位：亩</w:t>
      </w:r>
    </w:p>
    <w:tbl>
      <w:tblPr>
        <w:tblStyle w:val="9"/>
        <w:tblW w:w="9051" w:type="dxa"/>
        <w:jc w:val="center"/>
        <w:tblInd w:w="-40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64"/>
        <w:gridCol w:w="2031"/>
        <w:gridCol w:w="1302"/>
        <w:gridCol w:w="1272"/>
        <w:gridCol w:w="1427"/>
        <w:gridCol w:w="1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95" w:hRule="atLeast"/>
          <w:jc w:val="center"/>
        </w:trPr>
        <w:tc>
          <w:tcPr>
            <w:tcW w:w="1764"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公墓名称</w:t>
            </w:r>
          </w:p>
        </w:tc>
        <w:tc>
          <w:tcPr>
            <w:tcW w:w="2031"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墓区</w:t>
            </w:r>
          </w:p>
        </w:tc>
        <w:tc>
          <w:tcPr>
            <w:tcW w:w="1302"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24"/>
                <w:szCs w:val="24"/>
                <w:lang w:val="en-US" w:eastAsia="zh-CN" w:bidi="ar-SA"/>
              </w:rPr>
              <w:t>实际面积</w:t>
            </w:r>
          </w:p>
        </w:tc>
        <w:tc>
          <w:tcPr>
            <w:tcW w:w="1272"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24"/>
                <w:szCs w:val="24"/>
                <w:lang w:val="en-US" w:eastAsia="zh-CN" w:bidi="ar-SA"/>
              </w:rPr>
              <w:t>已利用</w:t>
            </w:r>
          </w:p>
        </w:tc>
        <w:tc>
          <w:tcPr>
            <w:tcW w:w="1427"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24"/>
                <w:szCs w:val="24"/>
                <w:lang w:val="en-US" w:eastAsia="zh-CN" w:bidi="ar-SA"/>
              </w:rPr>
              <w:t>不可利用</w:t>
            </w:r>
          </w:p>
        </w:tc>
        <w:tc>
          <w:tcPr>
            <w:tcW w:w="1255" w:type="dxa"/>
            <w:tcBorders>
              <w:top w:val="single" w:color="000000" w:sz="4" w:space="0"/>
              <w:left w:val="single" w:color="000000" w:sz="4" w:space="0"/>
              <w:bottom w:val="single" w:color="000000" w:sz="4" w:space="0"/>
              <w:right w:val="single" w:color="000000" w:sz="4"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18"/>
                <w:szCs w:val="18"/>
                <w:lang w:val="en-US" w:eastAsia="zh-CN" w:bidi="ar-SA"/>
              </w:rPr>
              <w:t>剩余可利用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1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西山公墓</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汉民</w:t>
            </w:r>
            <w:r>
              <w:rPr>
                <w:rFonts w:hint="default" w:ascii="方正仿宋_GBK" w:hAnsi="方正仿宋_GBK" w:eastAsia="方正仿宋_GBK" w:cs="方正仿宋_GBK"/>
                <w:color w:val="auto"/>
                <w:kern w:val="2"/>
                <w:sz w:val="24"/>
                <w:szCs w:val="24"/>
                <w:lang w:val="en-US" w:eastAsia="zh-CN" w:bidi="ar-SA"/>
              </w:rPr>
              <w:t>经营性墓区</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1500</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1007</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48</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5" w:hRule="atLeast"/>
          <w:jc w:val="center"/>
        </w:trPr>
        <w:tc>
          <w:tcPr>
            <w:tcW w:w="1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预留殡葬用地</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907</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409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5" w:hRule="atLeast"/>
          <w:jc w:val="center"/>
        </w:trPr>
        <w:tc>
          <w:tcPr>
            <w:tcW w:w="1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回民公益性墓区</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276</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56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27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jc w:val="center"/>
        </w:trPr>
        <w:tc>
          <w:tcPr>
            <w:tcW w:w="1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牛首山公墓</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汉民</w:t>
            </w:r>
            <w:r>
              <w:rPr>
                <w:rFonts w:hint="default" w:ascii="方正仿宋_GBK" w:hAnsi="方正仿宋_GBK" w:eastAsia="方正仿宋_GBK" w:cs="方正仿宋_GBK"/>
                <w:color w:val="auto"/>
                <w:kern w:val="2"/>
                <w:sz w:val="24"/>
                <w:szCs w:val="24"/>
                <w:lang w:val="en-US" w:eastAsia="zh-CN" w:bidi="ar-SA"/>
              </w:rPr>
              <w:t>经营性墓区</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1000</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309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jc w:val="center"/>
        </w:trPr>
        <w:tc>
          <w:tcPr>
            <w:tcW w:w="1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汉民</w:t>
            </w:r>
            <w:r>
              <w:rPr>
                <w:rFonts w:hint="default" w:ascii="方正仿宋_GBK" w:hAnsi="方正仿宋_GBK" w:eastAsia="方正仿宋_GBK" w:cs="方正仿宋_GBK"/>
                <w:color w:val="auto"/>
                <w:kern w:val="2"/>
                <w:sz w:val="24"/>
                <w:szCs w:val="24"/>
                <w:lang w:val="en-US" w:eastAsia="zh-CN" w:bidi="ar-SA"/>
              </w:rPr>
              <w:t>公益性墓区</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959</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628</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1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回民公益性墓区</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62</w:t>
            </w:r>
            <w:r>
              <w:rPr>
                <w:rFonts w:hint="eastAsia" w:ascii="方正仿宋_GBK" w:hAnsi="方正仿宋_GBK" w:eastAsia="方正仿宋_GBK" w:cs="方正仿宋_GBK"/>
                <w:color w:val="auto"/>
                <w:kern w:val="2"/>
                <w:sz w:val="24"/>
                <w:szCs w:val="24"/>
                <w:lang w:val="en-US" w:eastAsia="zh-CN" w:bidi="ar-SA"/>
              </w:rPr>
              <w:t>7</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99</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47</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48</w:t>
            </w:r>
            <w:r>
              <w:rPr>
                <w:rFonts w:hint="eastAsia" w:ascii="方正仿宋_GBK" w:hAnsi="方正仿宋_GBK" w:eastAsia="方正仿宋_GBK" w:cs="方正仿宋_GBK"/>
                <w:color w:val="auto"/>
                <w:kern w:val="2"/>
                <w:sz w:val="24"/>
                <w:szCs w:val="24"/>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铝厂公墓</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汉民公益性墓区</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1693</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436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420</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837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6" w:hRule="atLeast"/>
          <w:jc w:val="center"/>
        </w:trPr>
        <w:tc>
          <w:tcPr>
            <w:tcW w:w="1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臭泉沟公益性公墓</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方正仿宋_GBK" w:hAnsi="方正仿宋_GBK" w:eastAsia="方正仿宋_GBK" w:cs="方正仿宋_GBK"/>
                <w:color w:val="auto"/>
                <w:kern w:val="2"/>
                <w:sz w:val="24"/>
                <w:szCs w:val="24"/>
                <w:lang w:val="en-US" w:eastAsia="zh-CN" w:bidi="ar-SA"/>
              </w:rPr>
            </w:pPr>
            <w:r>
              <w:rPr>
                <w:rFonts w:hint="eastAsia" w:ascii="方正仿宋_GBK" w:hAnsi="方正仿宋_GBK" w:eastAsia="方正仿宋_GBK" w:cs="方正仿宋_GBK"/>
                <w:color w:val="auto"/>
                <w:kern w:val="2"/>
                <w:sz w:val="24"/>
                <w:szCs w:val="24"/>
                <w:lang w:val="en-US" w:eastAsia="zh-CN" w:bidi="ar-SA"/>
              </w:rPr>
              <w:t>回民</w:t>
            </w:r>
            <w:r>
              <w:rPr>
                <w:rFonts w:hint="default" w:ascii="方正仿宋_GBK" w:hAnsi="方正仿宋_GBK" w:eastAsia="方正仿宋_GBK" w:cs="方正仿宋_GBK"/>
                <w:color w:val="auto"/>
                <w:kern w:val="2"/>
                <w:sz w:val="24"/>
                <w:szCs w:val="24"/>
                <w:lang w:val="en-US" w:eastAsia="zh-CN" w:bidi="ar-SA"/>
              </w:rPr>
              <w:t>埋葬点</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62</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方正仿宋_GBK" w:hAnsi="方正仿宋_GBK" w:eastAsia="方正仿宋_GBK" w:cs="方正仿宋_GBK"/>
                <w:color w:val="auto"/>
                <w:kern w:val="2"/>
                <w:sz w:val="24"/>
                <w:szCs w:val="24"/>
                <w:lang w:val="en-US" w:eastAsia="zh-CN" w:bidi="ar-SA"/>
              </w:rPr>
            </w:pPr>
            <w:r>
              <w:rPr>
                <w:rFonts w:hint="default" w:ascii="方正仿宋_GBK" w:hAnsi="方正仿宋_GBK" w:eastAsia="方正仿宋_GBK" w:cs="方正仿宋_GBK"/>
                <w:color w:val="auto"/>
                <w:kern w:val="2"/>
                <w:sz w:val="24"/>
                <w:szCs w:val="24"/>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jc w:val="center"/>
        </w:trPr>
        <w:tc>
          <w:tcPr>
            <w:tcW w:w="3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eastAsia" w:ascii="方正仿宋_GBK" w:hAnsi="方正仿宋_GBK" w:eastAsia="方正仿宋_GBK" w:cs="方正仿宋_GBK"/>
                <w:b/>
                <w:bCs/>
                <w:color w:val="auto"/>
                <w:kern w:val="2"/>
                <w:sz w:val="24"/>
                <w:szCs w:val="24"/>
                <w:lang w:val="en-US" w:eastAsia="zh-CN" w:bidi="ar-SA"/>
              </w:rPr>
              <w:t>合计</w:t>
            </w:r>
          </w:p>
        </w:tc>
        <w:tc>
          <w:tcPr>
            <w:tcW w:w="13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24"/>
                <w:szCs w:val="24"/>
                <w:lang w:val="en-US" w:eastAsia="zh-CN" w:bidi="ar-SA"/>
              </w:rPr>
              <w:t>696</w:t>
            </w:r>
            <w:r>
              <w:rPr>
                <w:rFonts w:hint="eastAsia" w:ascii="方正仿宋_GBK" w:hAnsi="方正仿宋_GBK" w:eastAsia="方正仿宋_GBK" w:cs="方正仿宋_GBK"/>
                <w:b/>
                <w:bCs/>
                <w:color w:val="auto"/>
                <w:kern w:val="2"/>
                <w:sz w:val="24"/>
                <w:szCs w:val="24"/>
                <w:lang w:val="en-US" w:eastAsia="zh-CN" w:bidi="ar-SA"/>
              </w:rPr>
              <w:t>2</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24"/>
                <w:szCs w:val="24"/>
                <w:lang w:val="en-US" w:eastAsia="zh-CN" w:bidi="ar-SA"/>
              </w:rPr>
              <w:t>3006</w:t>
            </w: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24"/>
                <w:szCs w:val="24"/>
                <w:lang w:val="en-US" w:eastAsia="zh-CN" w:bidi="ar-SA"/>
              </w:rPr>
              <w:t>542</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仿宋_GBK" w:hAnsi="方正仿宋_GBK" w:eastAsia="方正仿宋_GBK" w:cs="方正仿宋_GBK"/>
                <w:b/>
                <w:bCs/>
                <w:color w:val="auto"/>
                <w:kern w:val="2"/>
                <w:sz w:val="24"/>
                <w:szCs w:val="24"/>
                <w:lang w:val="en-US" w:eastAsia="zh-CN" w:bidi="ar-SA"/>
              </w:rPr>
            </w:pPr>
            <w:r>
              <w:rPr>
                <w:rFonts w:hint="default" w:ascii="方正仿宋_GBK" w:hAnsi="方正仿宋_GBK" w:eastAsia="方正仿宋_GBK" w:cs="方正仿宋_GBK"/>
                <w:b/>
                <w:bCs/>
                <w:color w:val="auto"/>
                <w:kern w:val="2"/>
                <w:sz w:val="24"/>
                <w:szCs w:val="24"/>
                <w:lang w:val="en-US" w:eastAsia="zh-CN" w:bidi="ar-SA"/>
              </w:rPr>
              <w:t>347</w:t>
            </w:r>
            <w:r>
              <w:rPr>
                <w:rFonts w:hint="eastAsia" w:ascii="方正仿宋_GBK" w:hAnsi="方正仿宋_GBK" w:eastAsia="方正仿宋_GBK" w:cs="方正仿宋_GBK"/>
                <w:b/>
                <w:bCs/>
                <w:color w:val="auto"/>
                <w:kern w:val="2"/>
                <w:sz w:val="24"/>
                <w:szCs w:val="24"/>
                <w:lang w:val="en-US" w:eastAsia="zh-CN" w:bidi="ar-SA"/>
              </w:rPr>
              <w:t>6</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K" w:hAnsi="方正楷体_GBK" w:eastAsia="方正楷体_GBK" w:cs="方正楷体_GBK"/>
          <w:b/>
          <w:bCs/>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（二）殡仪服务设施</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32"/>
          <w:szCs w:val="32"/>
          <w:lang w:val="en-US" w:eastAsia="zh-CN" w:bidi="ar-SA"/>
        </w:rPr>
        <w:t>市殡仪馆建于1997年，系政府投资建设的事业单位，投资金额320万元。位于小坝镇古峡西街以北，距市区1公里，占地5亩。现有职工6人。设有6间守灵堂、2间悼念厅、1间冷藏室和法医鉴定室，一次性可停放遗体20具。（详见图10）现基本能满足群众的治丧需求。主要承担市区和周边群众的各类丧葬事宜，年接待量近320具遗体，开展遗体接运、停放、悼念等殡仪服务。</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图11市殡仪馆</w:t>
      </w:r>
    </w:p>
    <w:tbl>
      <w:tblPr>
        <w:tblStyle w:val="10"/>
        <w:tblW w:w="89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1"/>
        <w:gridCol w:w="4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7" w:hRule="atLeast"/>
          <w:jc w:val="center"/>
        </w:trPr>
        <w:tc>
          <w:tcPr>
            <w:tcW w:w="4381" w:type="dxa"/>
            <w:vAlign w:val="top"/>
          </w:tcPr>
          <w:p>
            <w:pPr>
              <w:pStyle w:val="4"/>
              <w:spacing w:line="240" w:lineRule="auto"/>
              <w:jc w:val="both"/>
              <w:rPr>
                <w:rFonts w:hint="eastAsia" w:ascii="Arial Unicode MS" w:hAnsi="Arial Unicode MS" w:eastAsia="Arial Unicode MS" w:cs="Arial Unicode MS"/>
                <w:color w:val="auto"/>
                <w:sz w:val="32"/>
                <w:szCs w:val="32"/>
                <w:vertAlign w:val="baseline"/>
                <w:lang w:val="en-US" w:eastAsia="zh-CN"/>
              </w:rPr>
            </w:pPr>
            <w:r>
              <w:rPr>
                <w:rFonts w:hint="eastAsia" w:ascii="Arial Unicode MS" w:hAnsi="Arial Unicode MS" w:eastAsia="Arial Unicode MS" w:cs="Arial Unicode MS"/>
                <w:b/>
                <w:bCs/>
                <w:color w:val="auto"/>
                <w:kern w:val="2"/>
                <w:sz w:val="32"/>
                <w:szCs w:val="32"/>
                <w:lang w:val="en-US" w:eastAsia="zh-CN" w:bidi="ar-SA"/>
              </w:rPr>
              <w:drawing>
                <wp:inline distT="0" distB="0" distL="114300" distR="114300">
                  <wp:extent cx="2652395" cy="1854835"/>
                  <wp:effectExtent l="0" t="0" r="14605" b="12065"/>
                  <wp:docPr id="42" name="图片 42" descr="C:/Users/ADMINI~1/AppData/Local/Temp/picturecompress_202102041127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picturecompress_20210204112713/output_1.jpgoutput_1"/>
                          <pic:cNvPicPr>
                            <a:picLocks noChangeAspect="1"/>
                          </pic:cNvPicPr>
                        </pic:nvPicPr>
                        <pic:blipFill>
                          <a:blip r:embed="rId33"/>
                          <a:stretch>
                            <a:fillRect/>
                          </a:stretch>
                        </pic:blipFill>
                        <pic:spPr>
                          <a:xfrm>
                            <a:off x="0" y="0"/>
                            <a:ext cx="2652395" cy="1854835"/>
                          </a:xfrm>
                          <a:prstGeom prst="roundRect">
                            <a:avLst/>
                          </a:prstGeom>
                        </pic:spPr>
                      </pic:pic>
                    </a:graphicData>
                  </a:graphic>
                </wp:inline>
              </w:drawing>
            </w:r>
          </w:p>
        </w:tc>
        <w:tc>
          <w:tcPr>
            <w:tcW w:w="4605" w:type="dxa"/>
            <w:vAlign w:val="top"/>
          </w:tcPr>
          <w:p>
            <w:pPr>
              <w:pStyle w:val="4"/>
              <w:rPr>
                <w:rFonts w:hint="eastAsia" w:ascii="Arial Unicode MS" w:hAnsi="Arial Unicode MS" w:eastAsia="Arial Unicode MS" w:cs="Arial Unicode MS"/>
                <w:color w:val="auto"/>
                <w:sz w:val="32"/>
                <w:szCs w:val="32"/>
                <w:vertAlign w:val="baseline"/>
                <w:lang w:val="en-US" w:eastAsia="zh-CN"/>
              </w:rPr>
            </w:pPr>
            <w:r>
              <w:rPr>
                <w:rFonts w:hint="eastAsia" w:ascii="Arial Unicode MS" w:hAnsi="Arial Unicode MS" w:eastAsia="Arial Unicode MS" w:cs="Arial Unicode MS"/>
                <w:b/>
                <w:bCs/>
                <w:color w:val="auto"/>
                <w:kern w:val="2"/>
                <w:sz w:val="32"/>
                <w:szCs w:val="32"/>
                <w:lang w:val="en-US" w:eastAsia="zh-CN" w:bidi="ar-SA"/>
              </w:rPr>
              <w:drawing>
                <wp:inline distT="0" distB="0" distL="114300" distR="114300">
                  <wp:extent cx="2800350" cy="1861820"/>
                  <wp:effectExtent l="0" t="0" r="0" b="5080"/>
                  <wp:docPr id="41" name="图片 41" descr="C:/Users/ADMINI~1/AppData/Local/Temp/picturecompress_202102041126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1/AppData/Local/Temp/picturecompress_20210204112642/output_1.jpgoutput_1"/>
                          <pic:cNvPicPr>
                            <a:picLocks noChangeAspect="1"/>
                          </pic:cNvPicPr>
                        </pic:nvPicPr>
                        <pic:blipFill>
                          <a:blip r:embed="rId34"/>
                          <a:stretch>
                            <a:fillRect/>
                          </a:stretch>
                        </pic:blipFill>
                        <pic:spPr>
                          <a:xfrm>
                            <a:off x="0" y="0"/>
                            <a:ext cx="2800350" cy="1861820"/>
                          </a:xfrm>
                          <a:prstGeom prst="round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57" w:name="_Toc29377"/>
      <w:bookmarkStart w:id="58" w:name="_Toc23580"/>
      <w:bookmarkStart w:id="59" w:name="_Toc11528"/>
      <w:bookmarkStart w:id="60" w:name="_Toc22734"/>
      <w:bookmarkStart w:id="61" w:name="_Toc26496"/>
      <w:r>
        <w:rPr>
          <w:rFonts w:hint="eastAsia" w:ascii="方正黑体_GBK" w:hAnsi="方正黑体_GBK" w:eastAsia="方正黑体_GBK" w:cs="方正黑体_GBK"/>
          <w:snapToGrid/>
          <w:color w:val="000000"/>
          <w:kern w:val="2"/>
          <w:sz w:val="32"/>
          <w:szCs w:val="32"/>
          <w:lang w:val="en-US" w:eastAsia="zh-CN"/>
        </w:rPr>
        <w:t>四、土地利用</w:t>
      </w:r>
      <w:bookmarkEnd w:id="57"/>
      <w:r>
        <w:rPr>
          <w:rFonts w:hint="eastAsia" w:ascii="方正黑体_GBK" w:hAnsi="方正黑体_GBK" w:eastAsia="方正黑体_GBK" w:cs="方正黑体_GBK"/>
          <w:snapToGrid/>
          <w:color w:val="000000"/>
          <w:kern w:val="2"/>
          <w:sz w:val="32"/>
          <w:szCs w:val="32"/>
          <w:lang w:val="en-US" w:eastAsia="zh-CN"/>
        </w:rPr>
        <w:t>现状</w:t>
      </w:r>
      <w:bookmarkEnd w:id="58"/>
      <w:bookmarkEnd w:id="59"/>
      <w:bookmarkEnd w:id="60"/>
      <w:bookmarkEnd w:id="61"/>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根据2018年土地利用现状数据库统计，全市土地总面积为2525平方公里，其中风景名胜及特殊用地9.6平方公里，青铜峡市4个公墓土地利用现状情况。详见表3。</w:t>
      </w:r>
    </w:p>
    <w:p>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表3 各公墓土地利用现状情况统计表</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outlineLvl w:val="9"/>
        <w:rPr>
          <w:rFonts w:hint="eastAsia" w:ascii="方正仿宋_GBK" w:hAnsi="方正仿宋_GBK" w:eastAsia="方正仿宋_GBK" w:cs="方正仿宋_GBK"/>
          <w:color w:val="auto"/>
          <w:kern w:val="2"/>
          <w:sz w:val="28"/>
          <w:szCs w:val="28"/>
          <w:lang w:val="en-US" w:eastAsia="zh-CN" w:bidi="ar-SA"/>
        </w:rPr>
      </w:pPr>
      <w:r>
        <w:rPr>
          <w:rFonts w:hint="eastAsia" w:ascii="方正仿宋_GBK" w:hAnsi="方正仿宋_GBK" w:eastAsia="方正仿宋_GBK" w:cs="方正仿宋_GBK"/>
          <w:color w:val="auto"/>
          <w:kern w:val="2"/>
          <w:sz w:val="28"/>
          <w:szCs w:val="28"/>
          <w:lang w:val="en-US" w:eastAsia="zh-CN" w:bidi="ar-SA"/>
        </w:rPr>
        <w:t>单位：亩</w:t>
      </w:r>
    </w:p>
    <w:tbl>
      <w:tblPr>
        <w:tblStyle w:val="9"/>
        <w:tblW w:w="8737" w:type="dxa"/>
        <w:tblInd w:w="-1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0"/>
        <w:gridCol w:w="1292"/>
        <w:gridCol w:w="583"/>
        <w:gridCol w:w="742"/>
        <w:gridCol w:w="690"/>
        <w:gridCol w:w="907"/>
        <w:gridCol w:w="819"/>
        <w:gridCol w:w="869"/>
        <w:gridCol w:w="565"/>
        <w:gridCol w:w="741"/>
        <w:gridCol w:w="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3" w:hRule="atLeast"/>
        </w:trPr>
        <w:tc>
          <w:tcPr>
            <w:tcW w:w="760" w:type="dxa"/>
            <w:vMerge w:val="restart"/>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公墓名称</w:t>
            </w:r>
          </w:p>
        </w:tc>
        <w:tc>
          <w:tcPr>
            <w:tcW w:w="1292" w:type="dxa"/>
            <w:vMerge w:val="restart"/>
            <w:tcBorders>
              <w:top w:val="single" w:color="000000" w:sz="8" w:space="0"/>
              <w:left w:val="nil"/>
              <w:bottom w:val="single" w:color="000000" w:sz="8" w:space="0"/>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墓区</w:t>
            </w:r>
          </w:p>
        </w:tc>
        <w:tc>
          <w:tcPr>
            <w:tcW w:w="2015" w:type="dxa"/>
            <w:gridSpan w:val="3"/>
            <w:tcBorders>
              <w:top w:val="single" w:color="000000" w:sz="8" w:space="0"/>
              <w:left w:val="nil"/>
              <w:bottom w:val="single" w:color="000000" w:sz="8" w:space="0"/>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农用地</w:t>
            </w:r>
          </w:p>
        </w:tc>
        <w:tc>
          <w:tcPr>
            <w:tcW w:w="3901" w:type="dxa"/>
            <w:gridSpan w:val="5"/>
            <w:tcBorders>
              <w:top w:val="single" w:color="000000" w:sz="8" w:space="0"/>
              <w:left w:val="nil"/>
              <w:bottom w:val="single" w:color="000000" w:sz="8" w:space="0"/>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建设用地</w:t>
            </w:r>
          </w:p>
        </w:tc>
        <w:tc>
          <w:tcPr>
            <w:tcW w:w="769" w:type="dxa"/>
            <w:tcBorders>
              <w:top w:val="single" w:color="000000" w:sz="8" w:space="0"/>
              <w:left w:val="nil"/>
              <w:bottom w:val="single" w:color="000000" w:sz="8" w:space="0"/>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其他用地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38" w:hRule="atLeast"/>
        </w:trPr>
        <w:tc>
          <w:tcPr>
            <w:tcW w:w="760" w:type="dxa"/>
            <w:vMerge w:val="continue"/>
            <w:tcBorders>
              <w:top w:val="single" w:color="000000" w:sz="8" w:space="0"/>
              <w:left w:val="single" w:color="000000" w:sz="8" w:space="0"/>
              <w:bottom w:val="single" w:color="000000" w:sz="8" w:space="0"/>
              <w:right w:val="single" w:color="000000" w:sz="8"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方正仿宋_GBK" w:hAnsi="方正仿宋_GBK" w:eastAsia="方正仿宋_GBK" w:cs="方正仿宋_GBK"/>
                <w:b/>
                <w:bCs/>
                <w:i w:val="0"/>
                <w:iCs w:val="0"/>
                <w:color w:val="000000"/>
                <w:spacing w:val="-20"/>
                <w:sz w:val="24"/>
                <w:szCs w:val="24"/>
                <w:u w:val="none"/>
              </w:rPr>
            </w:pPr>
          </w:p>
        </w:tc>
        <w:tc>
          <w:tcPr>
            <w:tcW w:w="1292" w:type="dxa"/>
            <w:vMerge w:val="continue"/>
            <w:tcBorders>
              <w:top w:val="single" w:color="000000" w:sz="8" w:space="0"/>
              <w:left w:val="nil"/>
              <w:bottom w:val="single" w:color="000000" w:sz="8" w:space="0"/>
              <w:right w:val="single" w:color="000000" w:sz="8" w:space="0"/>
            </w:tcBorders>
            <w:shd w:val="clear" w:color="auto" w:fill="E7E6E6"/>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方正仿宋_GBK" w:hAnsi="方正仿宋_GBK" w:eastAsia="方正仿宋_GBK" w:cs="方正仿宋_GBK"/>
                <w:b/>
                <w:bCs/>
                <w:i w:val="0"/>
                <w:iCs w:val="0"/>
                <w:color w:val="000000"/>
                <w:spacing w:val="-20"/>
                <w:sz w:val="24"/>
                <w:szCs w:val="24"/>
                <w:u w:val="none"/>
              </w:rPr>
            </w:pPr>
          </w:p>
        </w:tc>
        <w:tc>
          <w:tcPr>
            <w:tcW w:w="583" w:type="dxa"/>
            <w:tcBorders>
              <w:top w:val="nil"/>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有林地</w:t>
            </w:r>
          </w:p>
        </w:tc>
        <w:tc>
          <w:tcPr>
            <w:tcW w:w="742" w:type="dxa"/>
            <w:tcBorders>
              <w:top w:val="nil"/>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天然牧草地</w:t>
            </w:r>
          </w:p>
        </w:tc>
        <w:tc>
          <w:tcPr>
            <w:tcW w:w="690" w:type="dxa"/>
            <w:tcBorders>
              <w:top w:val="nil"/>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果园</w:t>
            </w:r>
          </w:p>
        </w:tc>
        <w:tc>
          <w:tcPr>
            <w:tcW w:w="907" w:type="dxa"/>
            <w:tcBorders>
              <w:top w:val="nil"/>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特殊用地</w:t>
            </w:r>
          </w:p>
        </w:tc>
        <w:tc>
          <w:tcPr>
            <w:tcW w:w="819" w:type="dxa"/>
            <w:tcBorders>
              <w:top w:val="single" w:color="000000" w:sz="8" w:space="0"/>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水工建筑用地</w:t>
            </w:r>
          </w:p>
        </w:tc>
        <w:tc>
          <w:tcPr>
            <w:tcW w:w="869" w:type="dxa"/>
            <w:tcBorders>
              <w:top w:val="single" w:color="000000" w:sz="8" w:space="0"/>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农村道路</w:t>
            </w:r>
          </w:p>
        </w:tc>
        <w:tc>
          <w:tcPr>
            <w:tcW w:w="565" w:type="dxa"/>
            <w:tcBorders>
              <w:top w:val="single" w:color="000000" w:sz="8" w:space="0"/>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村庄</w:t>
            </w:r>
          </w:p>
        </w:tc>
        <w:tc>
          <w:tcPr>
            <w:tcW w:w="741" w:type="dxa"/>
            <w:tcBorders>
              <w:top w:val="single" w:color="000000" w:sz="8" w:space="0"/>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采矿用地</w:t>
            </w:r>
          </w:p>
        </w:tc>
        <w:tc>
          <w:tcPr>
            <w:tcW w:w="769" w:type="dxa"/>
            <w:tcBorders>
              <w:top w:val="single" w:color="000000" w:sz="8" w:space="0"/>
              <w:left w:val="nil"/>
              <w:bottom w:val="nil"/>
              <w:right w:val="single" w:color="000000" w:sz="8" w:space="0"/>
            </w:tcBorders>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1"/>
                <w:szCs w:val="21"/>
                <w:u w:val="none"/>
              </w:rPr>
            </w:pPr>
            <w:r>
              <w:rPr>
                <w:rFonts w:hint="eastAsia" w:ascii="方正仿宋_GBK" w:hAnsi="方正仿宋_GBK" w:eastAsia="方正仿宋_GBK" w:cs="方正仿宋_GBK"/>
                <w:b/>
                <w:bCs/>
                <w:i w:val="0"/>
                <w:iCs w:val="0"/>
                <w:color w:val="000000"/>
                <w:spacing w:val="-20"/>
                <w:kern w:val="0"/>
                <w:sz w:val="21"/>
                <w:szCs w:val="21"/>
                <w:u w:val="none"/>
                <w:lang w:val="en-US" w:eastAsia="zh-CN" w:bidi="ar"/>
              </w:rPr>
              <w:t>裸地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trPr>
        <w:tc>
          <w:tcPr>
            <w:tcW w:w="7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西山公墓</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汉民经营性墓区</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1269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231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7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129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汉民经营性墓区50年预留用地</w:t>
            </w:r>
          </w:p>
        </w:tc>
        <w:tc>
          <w:tcPr>
            <w:tcW w:w="58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907</w:t>
            </w:r>
          </w:p>
        </w:tc>
        <w:tc>
          <w:tcPr>
            <w:tcW w:w="69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90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1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56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6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4" w:hRule="atLeast"/>
        </w:trPr>
        <w:tc>
          <w:tcPr>
            <w:tcW w:w="7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129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回民公益性墓区</w:t>
            </w:r>
          </w:p>
        </w:tc>
        <w:tc>
          <w:tcPr>
            <w:tcW w:w="5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276</w:t>
            </w:r>
          </w:p>
        </w:tc>
        <w:tc>
          <w:tcPr>
            <w:tcW w:w="69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90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1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5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69" w:type="dxa"/>
            <w:tcBorders>
              <w:top w:val="nil"/>
              <w:left w:val="nil"/>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4" w:hRule="atLeast"/>
        </w:trPr>
        <w:tc>
          <w:tcPr>
            <w:tcW w:w="7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kern w:val="0"/>
                <w:sz w:val="21"/>
                <w:szCs w:val="21"/>
                <w:u w:val="none"/>
                <w:lang w:val="en-US" w:eastAsia="zh-CN" w:bidi="ar"/>
              </w:rPr>
            </w:pPr>
            <w:r>
              <w:rPr>
                <w:rFonts w:hint="eastAsia" w:ascii="方正仿宋_GBK" w:hAnsi="方正仿宋_GBK" w:eastAsia="方正仿宋_GBK" w:cs="方正仿宋_GBK"/>
                <w:i w:val="0"/>
                <w:iCs w:val="0"/>
                <w:color w:val="000000"/>
                <w:spacing w:val="-20"/>
                <w:kern w:val="0"/>
                <w:sz w:val="24"/>
                <w:szCs w:val="24"/>
                <w:u w:val="none"/>
                <w:lang w:val="en-US" w:eastAsia="zh-CN" w:bidi="ar"/>
              </w:rPr>
              <w:t>牛首山公墓</w:t>
            </w:r>
          </w:p>
        </w:tc>
        <w:tc>
          <w:tcPr>
            <w:tcW w:w="129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kern w:val="0"/>
                <w:sz w:val="24"/>
                <w:szCs w:val="24"/>
                <w:u w:val="none"/>
                <w:lang w:val="en-US" w:eastAsia="zh-CN" w:bidi="ar"/>
              </w:rPr>
            </w:pPr>
            <w:r>
              <w:rPr>
                <w:rFonts w:hint="eastAsia" w:ascii="方正仿宋_GBK" w:hAnsi="方正仿宋_GBK" w:eastAsia="方正仿宋_GBK" w:cs="方正仿宋_GBK"/>
                <w:i w:val="0"/>
                <w:iCs w:val="0"/>
                <w:color w:val="000000"/>
                <w:spacing w:val="-20"/>
                <w:kern w:val="0"/>
                <w:sz w:val="24"/>
                <w:szCs w:val="24"/>
                <w:u w:val="none"/>
                <w:lang w:val="en-US" w:eastAsia="zh-CN" w:bidi="ar"/>
              </w:rPr>
              <w:t>汉民经营性墓区</w:t>
            </w:r>
          </w:p>
        </w:tc>
        <w:tc>
          <w:tcPr>
            <w:tcW w:w="5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375</w:t>
            </w:r>
          </w:p>
        </w:tc>
        <w:tc>
          <w:tcPr>
            <w:tcW w:w="69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90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329</w:t>
            </w:r>
          </w:p>
        </w:tc>
        <w:tc>
          <w:tcPr>
            <w:tcW w:w="81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5</w:t>
            </w:r>
          </w:p>
        </w:tc>
        <w:tc>
          <w:tcPr>
            <w:tcW w:w="5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9" w:hRule="atLeast"/>
        </w:trPr>
        <w:tc>
          <w:tcPr>
            <w:tcW w:w="7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kern w:val="0"/>
                <w:sz w:val="21"/>
                <w:szCs w:val="21"/>
                <w:u w:val="none"/>
                <w:lang w:val="en-US" w:eastAsia="zh-CN" w:bidi="ar"/>
              </w:rPr>
            </w:pPr>
          </w:p>
        </w:tc>
        <w:tc>
          <w:tcPr>
            <w:tcW w:w="129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kern w:val="0"/>
                <w:sz w:val="24"/>
                <w:szCs w:val="24"/>
                <w:u w:val="none"/>
                <w:lang w:val="en-US" w:eastAsia="zh-CN" w:bidi="ar"/>
              </w:rPr>
            </w:pPr>
            <w:r>
              <w:rPr>
                <w:rFonts w:hint="eastAsia" w:ascii="方正仿宋_GBK" w:hAnsi="方正仿宋_GBK" w:eastAsia="方正仿宋_GBK" w:cs="方正仿宋_GBK"/>
                <w:i w:val="0"/>
                <w:iCs w:val="0"/>
                <w:color w:val="000000"/>
                <w:spacing w:val="-20"/>
                <w:kern w:val="0"/>
                <w:sz w:val="24"/>
                <w:szCs w:val="24"/>
                <w:u w:val="none"/>
                <w:lang w:val="en-US" w:eastAsia="zh-CN" w:bidi="ar"/>
              </w:rPr>
              <w:t>公汉民益性墓区</w:t>
            </w:r>
          </w:p>
        </w:tc>
        <w:tc>
          <w:tcPr>
            <w:tcW w:w="5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901</w:t>
            </w:r>
          </w:p>
        </w:tc>
        <w:tc>
          <w:tcPr>
            <w:tcW w:w="69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90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23</w:t>
            </w:r>
          </w:p>
        </w:tc>
        <w:tc>
          <w:tcPr>
            <w:tcW w:w="81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5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9</w:t>
            </w:r>
          </w:p>
        </w:tc>
        <w:tc>
          <w:tcPr>
            <w:tcW w:w="74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9" w:hRule="atLeast"/>
        </w:trPr>
        <w:tc>
          <w:tcPr>
            <w:tcW w:w="7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129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回民公益性墓区</w:t>
            </w:r>
          </w:p>
        </w:tc>
        <w:tc>
          <w:tcPr>
            <w:tcW w:w="5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21</w:t>
            </w:r>
          </w:p>
        </w:tc>
        <w:tc>
          <w:tcPr>
            <w:tcW w:w="69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90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576</w:t>
            </w:r>
          </w:p>
        </w:tc>
        <w:tc>
          <w:tcPr>
            <w:tcW w:w="81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5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8"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铝厂公墓</w:t>
            </w:r>
          </w:p>
        </w:tc>
        <w:tc>
          <w:tcPr>
            <w:tcW w:w="129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汉民公益性墓区</w:t>
            </w:r>
          </w:p>
        </w:tc>
        <w:tc>
          <w:tcPr>
            <w:tcW w:w="5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50</w:t>
            </w:r>
          </w:p>
        </w:tc>
        <w:tc>
          <w:tcPr>
            <w:tcW w:w="74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1394</w:t>
            </w:r>
          </w:p>
        </w:tc>
        <w:tc>
          <w:tcPr>
            <w:tcW w:w="69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4</w:t>
            </w:r>
          </w:p>
        </w:tc>
        <w:tc>
          <w:tcPr>
            <w:tcW w:w="90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242</w:t>
            </w:r>
          </w:p>
        </w:tc>
        <w:tc>
          <w:tcPr>
            <w:tcW w:w="81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5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1</w:t>
            </w:r>
          </w:p>
        </w:tc>
        <w:tc>
          <w:tcPr>
            <w:tcW w:w="74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w:t>
            </w:r>
          </w:p>
        </w:tc>
        <w:tc>
          <w:tcPr>
            <w:tcW w:w="769" w:type="dxa"/>
            <w:tcBorders>
              <w:top w:val="nil"/>
              <w:left w:val="nil"/>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1"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臭泉沟公益性公墓</w:t>
            </w:r>
          </w:p>
        </w:tc>
        <w:tc>
          <w:tcPr>
            <w:tcW w:w="129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回民公益性墓区</w:t>
            </w:r>
          </w:p>
        </w:tc>
        <w:tc>
          <w:tcPr>
            <w:tcW w:w="5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240</w:t>
            </w:r>
          </w:p>
        </w:tc>
        <w:tc>
          <w:tcPr>
            <w:tcW w:w="69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90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pacing w:val="-20"/>
                <w:sz w:val="24"/>
                <w:szCs w:val="24"/>
                <w:u w:val="none"/>
              </w:rPr>
            </w:pPr>
            <w:r>
              <w:rPr>
                <w:rFonts w:hint="eastAsia" w:ascii="方正仿宋_GBK" w:hAnsi="方正仿宋_GBK" w:eastAsia="方正仿宋_GBK" w:cs="方正仿宋_GBK"/>
                <w:i w:val="0"/>
                <w:iCs w:val="0"/>
                <w:color w:val="000000"/>
                <w:spacing w:val="-20"/>
                <w:kern w:val="0"/>
                <w:sz w:val="24"/>
                <w:szCs w:val="24"/>
                <w:u w:val="none"/>
                <w:lang w:val="en-US" w:eastAsia="zh-CN" w:bidi="ar"/>
              </w:rPr>
              <w:t>4</w:t>
            </w:r>
          </w:p>
        </w:tc>
        <w:tc>
          <w:tcPr>
            <w:tcW w:w="81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5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4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c>
          <w:tcPr>
            <w:tcW w:w="769" w:type="dxa"/>
            <w:tcBorders>
              <w:top w:val="nil"/>
              <w:left w:val="nil"/>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ind w:left="0" w:leftChars="0" w:right="0" w:rightChars="0" w:firstLine="0" w:firstLineChars="0"/>
              <w:jc w:val="center"/>
              <w:outlineLvl w:val="9"/>
              <w:rPr>
                <w:rFonts w:hint="eastAsia" w:ascii="方正仿宋_GBK" w:hAnsi="方正仿宋_GBK" w:eastAsia="方正仿宋_GBK" w:cs="方正仿宋_GBK"/>
                <w:i w:val="0"/>
                <w:iCs w:val="0"/>
                <w:color w:val="000000"/>
                <w:spacing w:val="-2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9" w:hRule="atLeast"/>
        </w:trPr>
        <w:tc>
          <w:tcPr>
            <w:tcW w:w="2052"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合计</w:t>
            </w:r>
          </w:p>
        </w:tc>
        <w:tc>
          <w:tcPr>
            <w:tcW w:w="583"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50</w:t>
            </w:r>
          </w:p>
        </w:tc>
        <w:tc>
          <w:tcPr>
            <w:tcW w:w="74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5383</w:t>
            </w:r>
          </w:p>
        </w:tc>
        <w:tc>
          <w:tcPr>
            <w:tcW w:w="69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4</w:t>
            </w:r>
          </w:p>
        </w:tc>
        <w:tc>
          <w:tcPr>
            <w:tcW w:w="907"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1405</w:t>
            </w:r>
          </w:p>
        </w:tc>
        <w:tc>
          <w:tcPr>
            <w:tcW w:w="81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0</w:t>
            </w:r>
          </w:p>
        </w:tc>
        <w:tc>
          <w:tcPr>
            <w:tcW w:w="8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5</w:t>
            </w:r>
          </w:p>
        </w:tc>
        <w:tc>
          <w:tcPr>
            <w:tcW w:w="565"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10</w:t>
            </w:r>
          </w:p>
        </w:tc>
        <w:tc>
          <w:tcPr>
            <w:tcW w:w="74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2</w:t>
            </w:r>
          </w:p>
        </w:tc>
        <w:tc>
          <w:tcPr>
            <w:tcW w:w="769"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pacing w:val="-20"/>
                <w:sz w:val="24"/>
                <w:szCs w:val="24"/>
                <w:u w:val="none"/>
              </w:rPr>
            </w:pPr>
            <w:r>
              <w:rPr>
                <w:rFonts w:hint="eastAsia" w:ascii="方正仿宋_GBK" w:hAnsi="方正仿宋_GBK" w:eastAsia="方正仿宋_GBK" w:cs="方正仿宋_GBK"/>
                <w:b/>
                <w:bCs/>
                <w:i w:val="0"/>
                <w:iCs w:val="0"/>
                <w:color w:val="000000"/>
                <w:spacing w:val="-20"/>
                <w:kern w:val="0"/>
                <w:sz w:val="24"/>
                <w:szCs w:val="24"/>
                <w:u w:val="none"/>
                <w:lang w:val="en-US" w:eastAsia="zh-CN" w:bidi="ar"/>
              </w:rPr>
              <w:t>347</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62" w:name="_Toc10432"/>
      <w:bookmarkStart w:id="63" w:name="_Toc26142"/>
      <w:r>
        <w:rPr>
          <w:rFonts w:hint="eastAsia" w:ascii="方正黑体_GBK" w:hAnsi="方正黑体_GBK" w:eastAsia="方正黑体_GBK" w:cs="方正黑体_GBK"/>
          <w:snapToGrid/>
          <w:color w:val="000000"/>
          <w:kern w:val="2"/>
          <w:sz w:val="32"/>
          <w:szCs w:val="32"/>
          <w:lang w:val="en-US" w:eastAsia="zh-CN"/>
        </w:rPr>
        <w:t>五、公墓管理存在问题</w:t>
      </w:r>
      <w:bookmarkEnd w:id="62"/>
      <w:bookmarkEnd w:id="6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lang w:val="en-US" w:eastAsia="zh-CN" w:bidi="ar-SA"/>
        </w:rPr>
        <w:t>（一）</w:t>
      </w:r>
      <w:r>
        <w:rPr>
          <w:rFonts w:hint="eastAsia" w:ascii="方正仿宋_GBK" w:hAnsi="方正仿宋_GBK" w:eastAsia="方正仿宋_GBK" w:cs="方正仿宋_GBK"/>
          <w:b/>
          <w:bCs/>
          <w:color w:val="auto"/>
          <w:kern w:val="2"/>
          <w:sz w:val="32"/>
          <w:szCs w:val="32"/>
          <w:highlight w:val="none"/>
          <w:lang w:val="en-US" w:eastAsia="zh-CN" w:bidi="ar-SA"/>
        </w:rPr>
        <w:t>四至范围不明确</w:t>
      </w:r>
      <w:r>
        <w:rPr>
          <w:rFonts w:hint="eastAsia" w:ascii="方正仿宋_GBK" w:hAnsi="方正仿宋_GBK" w:eastAsia="方正仿宋_GBK" w:cs="方正仿宋_GBK"/>
          <w:color w:val="auto"/>
          <w:kern w:val="2"/>
          <w:sz w:val="32"/>
          <w:szCs w:val="32"/>
          <w:highlight w:val="none"/>
          <w:lang w:val="en-US" w:eastAsia="zh-CN" w:bidi="ar-SA"/>
        </w:rPr>
        <w:t>。4座公墓，除铝厂公墓四至范围明确，其它3座公墓，均存在着四至范围不明确，土地使用手续不完善等问题。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（二）公益性公墓管护不到位</w:t>
      </w:r>
      <w:r>
        <w:rPr>
          <w:rFonts w:hint="eastAsia" w:ascii="方正仿宋_GBK" w:hAnsi="方正仿宋_GBK" w:eastAsia="方正仿宋_GBK" w:cs="方正仿宋_GBK"/>
          <w:color w:val="auto"/>
          <w:kern w:val="2"/>
          <w:sz w:val="32"/>
          <w:szCs w:val="32"/>
          <w:highlight w:val="none"/>
          <w:lang w:val="en-US" w:eastAsia="zh-CN" w:bidi="ar-SA"/>
        </w:rPr>
        <w:t>。4座公墓内的公益性墓区，均建设在荒山瘠地，自然环境恶劣，存在公墓基础设施差，无水、无电、无绿化等现象，因无人看管，管护不到位、任由</w:t>
      </w:r>
      <w:r>
        <w:rPr>
          <w:rFonts w:hint="eastAsia" w:ascii="方正仿宋_GBK" w:hAnsi="方正仿宋_GBK" w:eastAsia="方正仿宋_GBK" w:cs="方正仿宋_GBK"/>
          <w:color w:val="auto"/>
          <w:kern w:val="2"/>
          <w:sz w:val="32"/>
          <w:szCs w:val="32"/>
          <w:lang w:val="en-US" w:eastAsia="zh-CN" w:bidi="ar-SA"/>
        </w:rPr>
        <w:t>群众随意无序埋葬，造成土地严重浪费。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（三）定价机制不完善。</w:t>
      </w:r>
      <w:r>
        <w:rPr>
          <w:rFonts w:hint="eastAsia" w:ascii="方正仿宋_GBK" w:hAnsi="方正仿宋_GBK" w:eastAsia="方正仿宋_GBK" w:cs="方正仿宋_GBK"/>
          <w:color w:val="auto"/>
          <w:kern w:val="2"/>
          <w:sz w:val="32"/>
          <w:szCs w:val="32"/>
          <w:lang w:val="en-US" w:eastAsia="zh-CN" w:bidi="ar-SA"/>
        </w:rPr>
        <w:t>因管理不规范，未对公墓内公益性墓位价格进行定价，导致部分墓位价格较高，超出了群众接受范围，负面影响较大。</w:t>
      </w:r>
    </w:p>
    <w:p>
      <w:pPr>
        <w:keepNext w:val="0"/>
        <w:keepLines w:val="0"/>
        <w:pageBreakBefore w:val="0"/>
        <w:kinsoku/>
        <w:wordWrap/>
        <w:overflowPunct/>
        <w:topLinePunct w:val="0"/>
        <w:autoSpaceDE/>
        <w:autoSpaceDN/>
        <w:bidi w:val="0"/>
        <w:adjustRightInd/>
        <w:snapToGrid/>
        <w:spacing w:line="560" w:lineRule="exact"/>
      </w:pPr>
      <w:r>
        <w:br w:type="page"/>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bookmarkStart w:id="64" w:name="_Toc3607"/>
      <w:bookmarkStart w:id="65" w:name="_Toc7286"/>
      <w:bookmarkStart w:id="66" w:name="_Toc13799"/>
      <w:bookmarkStart w:id="67" w:name="_Toc1718"/>
      <w:bookmarkStart w:id="68" w:name="_Toc19452"/>
      <w:r>
        <w:rPr>
          <w:rFonts w:hint="eastAsia" w:ascii="方正小标宋_GBK" w:hAnsi="方正小标宋_GBK" w:eastAsia="方正小标宋_GBK" w:cs="方正小标宋_GBK"/>
          <w:snapToGrid/>
          <w:color w:val="000000"/>
          <w:kern w:val="2"/>
          <w:sz w:val="44"/>
          <w:szCs w:val="44"/>
          <w:lang w:val="en-US" w:eastAsia="zh-CN"/>
        </w:rPr>
        <w:t xml:space="preserve"> 殡葬设施用地规模预测</w:t>
      </w:r>
      <w:bookmarkEnd w:id="64"/>
      <w:bookmarkEnd w:id="65"/>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69" w:name="_Toc27485"/>
      <w:bookmarkStart w:id="70" w:name="_Toc13095"/>
      <w:bookmarkStart w:id="71" w:name="_Toc29337"/>
      <w:bookmarkStart w:id="72" w:name="_Toc9661"/>
      <w:bookmarkStart w:id="73" w:name="_Toc21770"/>
      <w:r>
        <w:rPr>
          <w:rFonts w:hint="eastAsia" w:ascii="方正黑体_GBK" w:hAnsi="方正黑体_GBK" w:eastAsia="方正黑体_GBK" w:cs="方正黑体_GBK"/>
          <w:snapToGrid/>
          <w:color w:val="000000"/>
          <w:kern w:val="2"/>
          <w:sz w:val="32"/>
          <w:szCs w:val="32"/>
          <w:lang w:val="en-US" w:eastAsia="zh-CN"/>
        </w:rPr>
        <w:t>一、殡葬用地测算依据及标准</w:t>
      </w:r>
      <w:bookmarkEnd w:id="69"/>
      <w:bookmarkEnd w:id="70"/>
      <w:bookmarkEnd w:id="71"/>
      <w:bookmarkEnd w:id="72"/>
      <w:bookmarkEnd w:id="7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bookmarkStart w:id="74" w:name="_Toc3661"/>
      <w:bookmarkStart w:id="75" w:name="_Toc14358"/>
      <w:bookmarkStart w:id="76" w:name="_Toc11913"/>
      <w:bookmarkStart w:id="77" w:name="_Toc32679"/>
      <w:bookmarkStart w:id="78" w:name="_Toc30944"/>
      <w:r>
        <w:rPr>
          <w:rFonts w:hint="eastAsia" w:ascii="方正楷体_GBK" w:hAnsi="方正楷体_GBK" w:eastAsia="方正楷体_GBK" w:cs="方正楷体_GBK"/>
          <w:b/>
          <w:bCs/>
          <w:snapToGrid/>
          <w:color w:val="000000"/>
          <w:kern w:val="2"/>
          <w:sz w:val="32"/>
          <w:szCs w:val="32"/>
          <w:lang w:val="en-US" w:eastAsia="zh-CN" w:bidi="ar-SA"/>
        </w:rPr>
        <w:t>（一）殡葬用地建设标准</w:t>
      </w:r>
      <w:bookmarkEnd w:id="74"/>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line="560" w:lineRule="exact"/>
        <w:ind w:left="105" w:leftChars="50"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bookmarkStart w:id="79" w:name="_Toc3463"/>
      <w:bookmarkStart w:id="80" w:name="_Toc9663"/>
      <w:bookmarkStart w:id="81" w:name="_Toc22766"/>
      <w:bookmarkStart w:id="82" w:name="_Toc32720"/>
      <w:bookmarkStart w:id="83" w:name="_Toc7281"/>
      <w:r>
        <w:rPr>
          <w:rFonts w:hint="eastAsia" w:ascii="方正仿宋_GBK" w:hAnsi="方正仿宋_GBK" w:eastAsia="方正仿宋_GBK" w:cs="方正仿宋_GBK"/>
          <w:color w:val="auto"/>
          <w:kern w:val="2"/>
          <w:sz w:val="32"/>
          <w:szCs w:val="32"/>
          <w:highlight w:val="none"/>
          <w:lang w:val="en-US" w:eastAsia="zh-CN" w:bidi="ar-SA"/>
        </w:rPr>
        <w:t>根据《殡葬管理条例》（国务院令628号）和《宁夏回族自治区殡葬管理办法》（宁夏回族自治区人民政府令第117号）相关规定。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w:t>
      </w:r>
      <w:r>
        <w:rPr>
          <w:rFonts w:hint="eastAsia" w:ascii="方正仿宋_GBK" w:hAnsi="方正仿宋_GBK" w:eastAsia="方正仿宋_GBK" w:cs="方正仿宋_GBK"/>
          <w:color w:val="auto"/>
          <w:kern w:val="2"/>
          <w:sz w:val="32"/>
          <w:szCs w:val="32"/>
          <w:highlight w:val="none"/>
          <w:lang w:val="en-US" w:eastAsia="zh-CN" w:bidi="ar-SA"/>
        </w:rPr>
        <w:t>保障50年的殡葬用地需求、明确20年的使用周期、坚持5年的开发建设期限。</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2.</w:t>
      </w:r>
      <w:r>
        <w:rPr>
          <w:rFonts w:hint="eastAsia" w:ascii="方正仿宋_GBK" w:hAnsi="方正仿宋_GBK" w:eastAsia="方正仿宋_GBK" w:cs="方正仿宋_GBK"/>
          <w:color w:val="auto"/>
          <w:kern w:val="2"/>
          <w:sz w:val="32"/>
          <w:szCs w:val="32"/>
          <w:highlight w:val="none"/>
          <w:lang w:val="en-US" w:eastAsia="zh-CN" w:bidi="ar-SA"/>
        </w:rPr>
        <w:t>严格控制墓穴占地标准。骨灰墓穴(含双人墓穴)占地面积不得超过2平方米；遗体墓(含双人墓)不得超过6平方米。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3.</w:t>
      </w:r>
      <w:r>
        <w:rPr>
          <w:rFonts w:hint="eastAsia" w:ascii="方正仿宋_GBK" w:hAnsi="方正仿宋_GBK" w:eastAsia="方正仿宋_GBK" w:cs="方正仿宋_GBK"/>
          <w:color w:val="auto"/>
          <w:kern w:val="2"/>
          <w:sz w:val="32"/>
          <w:szCs w:val="32"/>
          <w:highlight w:val="none"/>
          <w:lang w:val="en-US" w:eastAsia="zh-CN" w:bidi="ar-SA"/>
        </w:rPr>
        <w:t>殡葬规划用地的绿化率不低于30%，殡仪馆、殡仪服务站（中心）、道路、停车场、办公场所等基础设施占总面积的20%，公益性墓区和生态节地安葬用地不低于30%，经营性墓区用地不高于20%考虑，确保建设一片绿化一片，作为公共基础设施永久保留、循环利用。</w:t>
      </w:r>
    </w:p>
    <w:bookmarkEnd w:id="79"/>
    <w:bookmarkEnd w:id="80"/>
    <w:bookmarkEnd w:id="81"/>
    <w:bookmarkEnd w:id="82"/>
    <w:bookmarkEnd w:id="83"/>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（二）殡葬设施用地测算方法</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w:t>
      </w:r>
      <w:r>
        <w:rPr>
          <w:rFonts w:hint="eastAsia" w:ascii="方正仿宋_GBK" w:hAnsi="方正仿宋_GBK" w:eastAsia="方正仿宋_GBK" w:cs="方正仿宋_GBK"/>
          <w:color w:val="auto"/>
          <w:kern w:val="2"/>
          <w:sz w:val="32"/>
          <w:szCs w:val="32"/>
          <w:lang w:val="en-US" w:eastAsia="zh-CN" w:bidi="ar-SA"/>
        </w:rPr>
        <w:t>公墓用地测算方法：根据死亡人口和墓位占地面积，考虑绿化、基础设施占地面积等因素，计算殡葬用地需求。在尊重各民族丧葬习俗的前提下，本次规划汉族采用骨灰葬和遗体葬两种方式，均按照合葬计算，回族则尊重其少数民族丧葬习惯，全部采用遗体葬，按照单独葬计算。</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2.</w:t>
      </w:r>
      <w:r>
        <w:rPr>
          <w:rFonts w:hint="eastAsia" w:ascii="方正仿宋_GBK" w:hAnsi="方正仿宋_GBK" w:eastAsia="方正仿宋_GBK" w:cs="方正仿宋_GBK"/>
          <w:color w:val="auto"/>
          <w:kern w:val="2"/>
          <w:sz w:val="32"/>
          <w:szCs w:val="32"/>
          <w:lang w:val="en-US" w:eastAsia="zh-CN" w:bidi="ar-SA"/>
        </w:rPr>
        <w:t>殡仪服务设施建设标准：殡仪馆建设必须符合国家有关法律、法规的规定，满足城乡发展规划的要求。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84" w:name="_Toc26551"/>
      <w:bookmarkStart w:id="85" w:name="_Toc31280"/>
      <w:bookmarkStart w:id="86" w:name="_Toc7786"/>
      <w:bookmarkStart w:id="87" w:name="_Toc6281"/>
      <w:bookmarkStart w:id="88" w:name="_Toc2217"/>
      <w:r>
        <w:rPr>
          <w:rFonts w:hint="eastAsia" w:ascii="方正黑体_GBK" w:hAnsi="方正黑体_GBK" w:eastAsia="方正黑体_GBK" w:cs="方正黑体_GBK"/>
          <w:snapToGrid/>
          <w:color w:val="000000"/>
          <w:kern w:val="2"/>
          <w:sz w:val="32"/>
          <w:szCs w:val="32"/>
          <w:lang w:val="en-US" w:eastAsia="zh-CN"/>
        </w:rPr>
        <w:t>二、人口发展规模预测</w:t>
      </w:r>
      <w:bookmarkEnd w:id="84"/>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（一）人口发展预测方法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青铜峡市全部户籍人口：以2022年末户籍总人口272705人为基数，结合近5年人口死亡率（其中：2018死亡率为6.03‰、2019死亡率为7.63‰、2020死亡率为7.10‰、2021死亡率为7.76‰、2022死亡率为8.17‰），取2018-2022年的平均死亡率7.34‰，即平均年死亡人数约为2001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left"/>
        <w:textAlignment w:val="auto"/>
        <w:outlineLvl w:val="9"/>
        <w:rPr>
          <w:rFonts w:hint="default"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利通区48%的汉族和20%的回族人口：以2022年末人口140643人为基数，结合近5年死亡率（其中2018死亡率为3.99‰、2019死亡率为6.35‰、2020死亡率为6.42‰、2021死亡率为6.71‰、2022死亡率为7.82‰），取2018-2022年平均死亡率6.25‰，即平均年死亡人数约为2786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（二）死亡人口预测结果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b/>
          <w:bCs/>
          <w:color w:val="auto"/>
          <w:sz w:val="32"/>
          <w:szCs w:val="32"/>
          <w:lang w:val="en-US" w:eastAsia="zh-CN"/>
        </w:rPr>
      </w:pPr>
      <w:r>
        <w:rPr>
          <w:rFonts w:hint="eastAsia" w:ascii="方正仿宋_GBK" w:hAnsi="方正仿宋_GBK" w:eastAsia="方正仿宋_GBK" w:cs="方正仿宋_GBK"/>
          <w:b/>
          <w:bCs/>
          <w:color w:val="auto"/>
          <w:sz w:val="32"/>
          <w:szCs w:val="32"/>
          <w:lang w:val="en-US" w:eastAsia="zh-CN"/>
        </w:rPr>
        <w:t>1.青铜峡市死亡人口预测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近期2023-2027年，预计5年内青铜峡市</w:t>
      </w:r>
      <w:r>
        <w:rPr>
          <w:rFonts w:hint="eastAsia" w:ascii="方正仿宋_GBK" w:hAnsi="方正仿宋_GBK" w:eastAsia="方正仿宋_GBK" w:cs="方正仿宋_GBK"/>
          <w:color w:val="auto"/>
          <w:kern w:val="2"/>
          <w:sz w:val="32"/>
          <w:szCs w:val="32"/>
          <w:highlight w:val="none"/>
          <w:lang w:val="en-US" w:eastAsia="zh-CN" w:bidi="ar-SA"/>
        </w:rPr>
        <w:t>累计死亡人口</w:t>
      </w:r>
      <w:r>
        <w:rPr>
          <w:rFonts w:hint="eastAsia" w:ascii="方正仿宋_GBK" w:hAnsi="方正仿宋_GBK" w:eastAsia="方正仿宋_GBK" w:cs="方正仿宋_GBK"/>
          <w:color w:val="auto"/>
          <w:kern w:val="2"/>
          <w:sz w:val="32"/>
          <w:szCs w:val="32"/>
          <w:lang w:val="en-US" w:eastAsia="zh-CN" w:bidi="ar-SA"/>
        </w:rPr>
        <w:t>约0.8万人</w:t>
      </w:r>
      <w:r>
        <w:rPr>
          <w:rFonts w:hint="eastAsia" w:ascii="方正仿宋_GBK" w:hAnsi="方正仿宋_GBK" w:eastAsia="方正仿宋_GBK" w:cs="方正仿宋_GBK"/>
          <w:color w:val="auto"/>
          <w:kern w:val="2"/>
          <w:sz w:val="32"/>
          <w:szCs w:val="32"/>
          <w:highlight w:val="none"/>
          <w:lang w:val="en-US" w:eastAsia="zh-CN" w:bidi="ar-SA"/>
        </w:rPr>
        <w:t>，</w:t>
      </w:r>
      <w:r>
        <w:rPr>
          <w:rFonts w:hint="eastAsia" w:ascii="方正仿宋_GBK" w:hAnsi="方正仿宋_GBK" w:eastAsia="方正仿宋_GBK" w:cs="方正仿宋_GBK"/>
          <w:color w:val="auto"/>
          <w:kern w:val="2"/>
          <w:sz w:val="32"/>
          <w:szCs w:val="32"/>
          <w:lang w:val="en-US" w:eastAsia="zh-CN" w:bidi="ar-SA"/>
        </w:rPr>
        <w:t>其中汉族死亡人数约0.6万人，回族死亡人数约0.2万人。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远期2028-2035年，预计8年内青铜峡市</w:t>
      </w:r>
      <w:r>
        <w:rPr>
          <w:rFonts w:hint="eastAsia" w:ascii="方正仿宋_GBK" w:hAnsi="方正仿宋_GBK" w:eastAsia="方正仿宋_GBK" w:cs="方正仿宋_GBK"/>
          <w:color w:val="auto"/>
          <w:kern w:val="2"/>
          <w:sz w:val="32"/>
          <w:szCs w:val="32"/>
          <w:highlight w:val="none"/>
          <w:lang w:val="en-US" w:eastAsia="zh-CN" w:bidi="ar-SA"/>
        </w:rPr>
        <w:t>累计死亡人口</w:t>
      </w:r>
      <w:r>
        <w:rPr>
          <w:rFonts w:hint="eastAsia" w:ascii="方正仿宋_GBK" w:hAnsi="方正仿宋_GBK" w:eastAsia="方正仿宋_GBK" w:cs="方正仿宋_GBK"/>
          <w:color w:val="auto"/>
          <w:kern w:val="2"/>
          <w:sz w:val="32"/>
          <w:szCs w:val="32"/>
          <w:lang w:val="en-US" w:eastAsia="zh-CN" w:bidi="ar-SA"/>
        </w:rPr>
        <w:t>约2.4万人</w:t>
      </w:r>
      <w:r>
        <w:rPr>
          <w:rFonts w:hint="eastAsia" w:ascii="方正仿宋_GBK" w:hAnsi="方正仿宋_GBK" w:eastAsia="方正仿宋_GBK" w:cs="方正仿宋_GBK"/>
          <w:color w:val="auto"/>
          <w:kern w:val="2"/>
          <w:sz w:val="32"/>
          <w:szCs w:val="32"/>
          <w:highlight w:val="none"/>
          <w:lang w:val="en-US" w:eastAsia="zh-CN" w:bidi="ar-SA"/>
        </w:rPr>
        <w:t>，</w:t>
      </w:r>
      <w:r>
        <w:rPr>
          <w:rFonts w:hint="eastAsia" w:ascii="方正仿宋_GBK" w:hAnsi="方正仿宋_GBK" w:eastAsia="方正仿宋_GBK" w:cs="方正仿宋_GBK"/>
          <w:color w:val="auto"/>
          <w:kern w:val="2"/>
          <w:sz w:val="32"/>
          <w:szCs w:val="32"/>
          <w:lang w:val="en-US" w:eastAsia="zh-CN" w:bidi="ar-SA"/>
        </w:rPr>
        <w:t>其中汉族死亡人数约1.8万人，回族死亡人数约0.6万人。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远景展望至2072年，预计37年内青铜峡市</w:t>
      </w:r>
      <w:r>
        <w:rPr>
          <w:rFonts w:hint="eastAsia" w:ascii="方正仿宋_GBK" w:hAnsi="方正仿宋_GBK" w:eastAsia="方正仿宋_GBK" w:cs="方正仿宋_GBK"/>
          <w:color w:val="auto"/>
          <w:kern w:val="2"/>
          <w:sz w:val="32"/>
          <w:szCs w:val="32"/>
          <w:highlight w:val="none"/>
          <w:lang w:val="en-US" w:eastAsia="zh-CN" w:bidi="ar-SA"/>
        </w:rPr>
        <w:t>累计死亡人口</w:t>
      </w:r>
      <w:r>
        <w:rPr>
          <w:rFonts w:hint="eastAsia" w:ascii="方正仿宋_GBK" w:hAnsi="方正仿宋_GBK" w:eastAsia="方正仿宋_GBK" w:cs="方正仿宋_GBK"/>
          <w:color w:val="auto"/>
          <w:kern w:val="2"/>
          <w:sz w:val="32"/>
          <w:szCs w:val="32"/>
          <w:lang w:val="en-US" w:eastAsia="zh-CN" w:bidi="ar-SA"/>
        </w:rPr>
        <w:t>约9.9万人</w:t>
      </w:r>
      <w:r>
        <w:rPr>
          <w:rFonts w:hint="eastAsia" w:ascii="方正仿宋_GBK" w:hAnsi="方正仿宋_GBK" w:eastAsia="方正仿宋_GBK" w:cs="方正仿宋_GBK"/>
          <w:color w:val="auto"/>
          <w:kern w:val="2"/>
          <w:sz w:val="32"/>
          <w:szCs w:val="32"/>
          <w:highlight w:val="none"/>
          <w:lang w:val="en-US" w:eastAsia="zh-CN" w:bidi="ar-SA"/>
        </w:rPr>
        <w:t>，</w:t>
      </w:r>
      <w:r>
        <w:rPr>
          <w:rFonts w:hint="eastAsia" w:ascii="方正仿宋_GBK" w:hAnsi="方正仿宋_GBK" w:eastAsia="方正仿宋_GBK" w:cs="方正仿宋_GBK"/>
          <w:color w:val="auto"/>
          <w:kern w:val="2"/>
          <w:sz w:val="32"/>
          <w:szCs w:val="32"/>
          <w:lang w:val="en-US" w:eastAsia="zh-CN" w:bidi="ar-SA"/>
        </w:rPr>
        <w:t>其中汉族死亡人数约7.4万人，回族死亡人数约2.5万人。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b/>
          <w:bCs/>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2.利通区死亡人口预测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lang w:val="en-US" w:eastAsia="zh-CN" w:bidi="ar-SA"/>
        </w:rPr>
        <w:t>近期2023-2027年</w:t>
      </w:r>
      <w:r>
        <w:rPr>
          <w:rFonts w:hint="eastAsia" w:ascii="方正仿宋_GBK" w:hAnsi="方正仿宋_GBK" w:eastAsia="方正仿宋_GBK" w:cs="方正仿宋_GBK"/>
          <w:color w:val="auto"/>
          <w:kern w:val="2"/>
          <w:sz w:val="32"/>
          <w:szCs w:val="32"/>
          <w:highlight w:val="none"/>
          <w:lang w:val="en-US" w:eastAsia="zh-CN" w:bidi="ar-SA"/>
        </w:rPr>
        <w:t>，预计5年内利通区累计死亡人口约0.4万人，其中汉族死亡人数约0.2万人，回族死亡人数约0.2万人。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远期2028-2035年，预计8年内利通区累计死亡人口约1.3万人，其中汉族死亡人数约0.8万人，回族死亡人数约0.5万人。</w:t>
      </w:r>
    </w:p>
    <w:p>
      <w:pPr>
        <w:keepNext w:val="0"/>
        <w:keepLines w:val="0"/>
        <w:pageBreakBefore w:val="0"/>
        <w:widowControl w:val="0"/>
        <w:kinsoku/>
        <w:wordWrap/>
        <w:overflowPunct/>
        <w:topLinePunct w:val="0"/>
        <w:autoSpaceDE/>
        <w:autoSpaceDN/>
        <w:bidi w:val="0"/>
        <w:adjustRightInd/>
        <w:snapToGrid/>
        <w:spacing w:before="157" w:beforeLines="50" w:line="560" w:lineRule="exact"/>
        <w:jc w:val="center"/>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表4 青铜峡市死亡人口数量预测统计表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210" w:rightChars="0"/>
        <w:jc w:val="right"/>
        <w:textAlignment w:val="auto"/>
        <w:outlineLvl w:val="9"/>
        <w:rPr>
          <w:rFonts w:hint="eastAsia" w:ascii="仿宋" w:hAnsi="仿宋" w:eastAsia="仿宋" w:cs="仿宋"/>
          <w:i w:val="0"/>
          <w:iCs w:val="0"/>
          <w:caps w:val="0"/>
          <w:color w:val="auto"/>
          <w:spacing w:val="0"/>
          <w:kern w:val="2"/>
          <w:sz w:val="24"/>
          <w:szCs w:val="24"/>
          <w:highlight w:val="none"/>
          <w:shd w:val="clear" w:fill="FFFFFF"/>
          <w:lang w:val="en-US" w:eastAsia="zh-CN" w:bidi="ar-SA"/>
        </w:rPr>
      </w:pPr>
      <w:r>
        <w:rPr>
          <w:rFonts w:hint="eastAsia" w:ascii="仿宋" w:hAnsi="仿宋" w:eastAsia="仿宋" w:cs="仿宋"/>
          <w:i w:val="0"/>
          <w:iCs w:val="0"/>
          <w:caps w:val="0"/>
          <w:color w:val="auto"/>
          <w:spacing w:val="0"/>
          <w:kern w:val="2"/>
          <w:sz w:val="28"/>
          <w:szCs w:val="28"/>
          <w:highlight w:val="none"/>
          <w:shd w:val="clear" w:fill="FFFFFF"/>
          <w:lang w:val="en-US" w:eastAsia="zh-CN" w:bidi="ar-SA"/>
        </w:rPr>
        <w:t>单位：万人</w:t>
      </w:r>
    </w:p>
    <w:tbl>
      <w:tblPr>
        <w:tblStyle w:val="9"/>
        <w:tblW w:w="9577" w:type="dxa"/>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07"/>
        <w:gridCol w:w="802"/>
        <w:gridCol w:w="594"/>
        <w:gridCol w:w="602"/>
        <w:gridCol w:w="763"/>
        <w:gridCol w:w="590"/>
        <w:gridCol w:w="601"/>
        <w:gridCol w:w="662"/>
        <w:gridCol w:w="747"/>
        <w:gridCol w:w="744"/>
        <w:gridCol w:w="753"/>
        <w:gridCol w:w="783"/>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730" w:hRule="atLeast"/>
        </w:trPr>
        <w:tc>
          <w:tcPr>
            <w:tcW w:w="1207" w:type="dxa"/>
            <w:vMerge w:val="restart"/>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名称</w:t>
            </w:r>
          </w:p>
        </w:tc>
        <w:tc>
          <w:tcPr>
            <w:tcW w:w="1998" w:type="dxa"/>
            <w:gridSpan w:val="3"/>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近期2023-2027年（5年）</w:t>
            </w:r>
          </w:p>
        </w:tc>
        <w:tc>
          <w:tcPr>
            <w:tcW w:w="1954" w:type="dxa"/>
            <w:gridSpan w:val="3"/>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远期2028-2035年（8年）</w:t>
            </w:r>
          </w:p>
        </w:tc>
        <w:tc>
          <w:tcPr>
            <w:tcW w:w="2153" w:type="dxa"/>
            <w:gridSpan w:val="3"/>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远景展望至2072年（37年）</w:t>
            </w:r>
          </w:p>
        </w:tc>
        <w:tc>
          <w:tcPr>
            <w:tcW w:w="2265" w:type="dxa"/>
            <w:gridSpan w:val="3"/>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累计总人口数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0" w:hRule="atLeast"/>
        </w:trPr>
        <w:tc>
          <w:tcPr>
            <w:tcW w:w="1207" w:type="dxa"/>
            <w:vMerge w:val="continue"/>
            <w:shd w:val="clear" w:color="auto" w:fill="E7E6E6"/>
            <w:vAlign w:val="center"/>
          </w:tcPr>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0" w:firstLineChars="0"/>
              <w:jc w:val="center"/>
              <w:outlineLvl w:val="9"/>
              <w:rPr>
                <w:rFonts w:hint="eastAsia" w:ascii="仿宋" w:hAnsi="仿宋" w:eastAsia="仿宋" w:cs="仿宋"/>
                <w:b/>
                <w:bCs/>
                <w:i w:val="0"/>
                <w:iCs w:val="0"/>
                <w:color w:val="000000"/>
                <w:sz w:val="22"/>
                <w:szCs w:val="22"/>
                <w:u w:val="none"/>
              </w:rPr>
            </w:pPr>
          </w:p>
        </w:tc>
        <w:tc>
          <w:tcPr>
            <w:tcW w:w="802"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总死亡人数</w:t>
            </w:r>
          </w:p>
        </w:tc>
        <w:tc>
          <w:tcPr>
            <w:tcW w:w="594"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汉族</w:t>
            </w:r>
          </w:p>
        </w:tc>
        <w:tc>
          <w:tcPr>
            <w:tcW w:w="602"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回族</w:t>
            </w:r>
          </w:p>
        </w:tc>
        <w:tc>
          <w:tcPr>
            <w:tcW w:w="763"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总死亡人数</w:t>
            </w:r>
          </w:p>
        </w:tc>
        <w:tc>
          <w:tcPr>
            <w:tcW w:w="590"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汉族</w:t>
            </w:r>
          </w:p>
        </w:tc>
        <w:tc>
          <w:tcPr>
            <w:tcW w:w="601"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回族</w:t>
            </w:r>
          </w:p>
        </w:tc>
        <w:tc>
          <w:tcPr>
            <w:tcW w:w="662"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总死亡人数</w:t>
            </w:r>
          </w:p>
        </w:tc>
        <w:tc>
          <w:tcPr>
            <w:tcW w:w="747"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汉族</w:t>
            </w:r>
          </w:p>
        </w:tc>
        <w:tc>
          <w:tcPr>
            <w:tcW w:w="744"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回族</w:t>
            </w:r>
          </w:p>
        </w:tc>
        <w:tc>
          <w:tcPr>
            <w:tcW w:w="753" w:type="dxa"/>
            <w:shd w:val="clear" w:color="auto" w:fill="E7E6E6"/>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总死亡人口</w:t>
            </w:r>
          </w:p>
        </w:tc>
        <w:tc>
          <w:tcPr>
            <w:tcW w:w="783"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汉族</w:t>
            </w:r>
          </w:p>
        </w:tc>
        <w:tc>
          <w:tcPr>
            <w:tcW w:w="729"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回族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20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eastAsia="zh-CN"/>
              </w:rPr>
            </w:pPr>
            <w:r>
              <w:rPr>
                <w:rFonts w:hint="eastAsia" w:ascii="方正仿宋_GBK" w:hAnsi="方正仿宋_GBK" w:eastAsia="方正仿宋_GBK" w:cs="方正仿宋_GBK"/>
                <w:i w:val="0"/>
                <w:iCs w:val="0"/>
                <w:color w:val="000000"/>
                <w:sz w:val="24"/>
                <w:szCs w:val="24"/>
                <w:u w:val="none"/>
                <w:lang w:eastAsia="zh-CN"/>
              </w:rPr>
              <w:t>青铜峡市</w:t>
            </w:r>
          </w:p>
        </w:tc>
        <w:tc>
          <w:tcPr>
            <w:tcW w:w="8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0.8</w:t>
            </w:r>
          </w:p>
        </w:tc>
        <w:tc>
          <w:tcPr>
            <w:tcW w:w="5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0.6</w:t>
            </w:r>
          </w:p>
        </w:tc>
        <w:tc>
          <w:tcPr>
            <w:tcW w:w="6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0.2</w:t>
            </w:r>
          </w:p>
        </w:tc>
        <w:tc>
          <w:tcPr>
            <w:tcW w:w="7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2.4</w:t>
            </w:r>
          </w:p>
        </w:tc>
        <w:tc>
          <w:tcPr>
            <w:tcW w:w="5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1.8</w:t>
            </w:r>
          </w:p>
        </w:tc>
        <w:tc>
          <w:tcPr>
            <w:tcW w:w="6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0.6</w:t>
            </w:r>
          </w:p>
        </w:tc>
        <w:tc>
          <w:tcPr>
            <w:tcW w:w="66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9.9</w:t>
            </w:r>
          </w:p>
        </w:tc>
        <w:tc>
          <w:tcPr>
            <w:tcW w:w="7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7.4</w:t>
            </w:r>
          </w:p>
        </w:tc>
        <w:tc>
          <w:tcPr>
            <w:tcW w:w="7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2.5</w:t>
            </w:r>
          </w:p>
        </w:tc>
        <w:tc>
          <w:tcPr>
            <w:tcW w:w="75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13.1</w:t>
            </w:r>
          </w:p>
        </w:tc>
        <w:tc>
          <w:tcPr>
            <w:tcW w:w="7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9.8</w:t>
            </w:r>
          </w:p>
        </w:tc>
        <w:tc>
          <w:tcPr>
            <w:tcW w:w="72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20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eastAsia="zh-CN"/>
              </w:rPr>
            </w:pPr>
            <w:r>
              <w:rPr>
                <w:rFonts w:hint="eastAsia" w:ascii="方正仿宋_GBK" w:hAnsi="方正仿宋_GBK" w:eastAsia="方正仿宋_GBK" w:cs="方正仿宋_GBK"/>
                <w:i w:val="0"/>
                <w:iCs w:val="0"/>
                <w:color w:val="000000"/>
                <w:sz w:val="24"/>
                <w:szCs w:val="24"/>
                <w:u w:val="none"/>
                <w:lang w:eastAsia="zh-CN"/>
              </w:rPr>
              <w:t>利通区</w:t>
            </w:r>
          </w:p>
        </w:tc>
        <w:tc>
          <w:tcPr>
            <w:tcW w:w="8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0.4</w:t>
            </w:r>
          </w:p>
        </w:tc>
        <w:tc>
          <w:tcPr>
            <w:tcW w:w="5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0.2</w:t>
            </w:r>
          </w:p>
        </w:tc>
        <w:tc>
          <w:tcPr>
            <w:tcW w:w="6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0.2</w:t>
            </w:r>
          </w:p>
        </w:tc>
        <w:tc>
          <w:tcPr>
            <w:tcW w:w="7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1.3</w:t>
            </w:r>
          </w:p>
        </w:tc>
        <w:tc>
          <w:tcPr>
            <w:tcW w:w="5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0.8</w:t>
            </w:r>
          </w:p>
        </w:tc>
        <w:tc>
          <w:tcPr>
            <w:tcW w:w="6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0.5</w:t>
            </w:r>
          </w:p>
        </w:tc>
        <w:tc>
          <w:tcPr>
            <w:tcW w:w="66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7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7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75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1.7</w:t>
            </w:r>
          </w:p>
        </w:tc>
        <w:tc>
          <w:tcPr>
            <w:tcW w:w="7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2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20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Style w:val="12"/>
                <w:rFonts w:hint="eastAsia" w:ascii="方正仿宋_GBK" w:hAnsi="方正仿宋_GBK" w:eastAsia="方正仿宋_GBK" w:cs="方正仿宋_GBK"/>
                <w:b/>
                <w:bCs/>
                <w:sz w:val="24"/>
                <w:szCs w:val="24"/>
                <w:lang w:val="en-US" w:eastAsia="zh-CN" w:bidi="ar"/>
              </w:rPr>
            </w:pPr>
            <w:r>
              <w:rPr>
                <w:rStyle w:val="12"/>
                <w:rFonts w:hint="eastAsia" w:ascii="方正仿宋_GBK" w:hAnsi="方正仿宋_GBK" w:eastAsia="方正仿宋_GBK" w:cs="方正仿宋_GBK"/>
                <w:b/>
                <w:bCs/>
                <w:sz w:val="24"/>
                <w:szCs w:val="24"/>
                <w:lang w:val="en-US" w:eastAsia="zh-CN" w:bidi="ar"/>
              </w:rPr>
              <w:t>合计</w:t>
            </w:r>
          </w:p>
        </w:tc>
        <w:tc>
          <w:tcPr>
            <w:tcW w:w="8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1.2</w:t>
            </w:r>
          </w:p>
        </w:tc>
        <w:tc>
          <w:tcPr>
            <w:tcW w:w="5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0.8</w:t>
            </w:r>
          </w:p>
        </w:tc>
        <w:tc>
          <w:tcPr>
            <w:tcW w:w="60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0.4</w:t>
            </w:r>
          </w:p>
        </w:tc>
        <w:tc>
          <w:tcPr>
            <w:tcW w:w="7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3.7</w:t>
            </w:r>
          </w:p>
        </w:tc>
        <w:tc>
          <w:tcPr>
            <w:tcW w:w="5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2.6</w:t>
            </w:r>
          </w:p>
        </w:tc>
        <w:tc>
          <w:tcPr>
            <w:tcW w:w="6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1.1</w:t>
            </w:r>
          </w:p>
        </w:tc>
        <w:tc>
          <w:tcPr>
            <w:tcW w:w="66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9.9</w:t>
            </w:r>
          </w:p>
        </w:tc>
        <w:tc>
          <w:tcPr>
            <w:tcW w:w="74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7.4</w:t>
            </w:r>
          </w:p>
        </w:tc>
        <w:tc>
          <w:tcPr>
            <w:tcW w:w="7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default"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2.5</w:t>
            </w:r>
          </w:p>
        </w:tc>
        <w:tc>
          <w:tcPr>
            <w:tcW w:w="75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14.8</w:t>
            </w:r>
          </w:p>
        </w:tc>
        <w:tc>
          <w:tcPr>
            <w:tcW w:w="78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10.8</w:t>
            </w:r>
          </w:p>
        </w:tc>
        <w:tc>
          <w:tcPr>
            <w:tcW w:w="72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kern w:val="0"/>
                <w:sz w:val="24"/>
                <w:szCs w:val="24"/>
                <w:u w:val="none"/>
                <w:lang w:val="en-US" w:eastAsia="zh-CN" w:bidi="ar"/>
              </w:rPr>
            </w:pPr>
            <w:r>
              <w:rPr>
                <w:rFonts w:hint="eastAsia" w:ascii="方正仿宋_GBK" w:hAnsi="方正仿宋_GBK" w:eastAsia="方正仿宋_GBK" w:cs="方正仿宋_GBK"/>
                <w:b/>
                <w:bCs/>
                <w:i w:val="0"/>
                <w:iCs w:val="0"/>
                <w:color w:val="000000"/>
                <w:kern w:val="0"/>
                <w:sz w:val="24"/>
                <w:szCs w:val="24"/>
                <w:u w:val="none"/>
                <w:lang w:val="en-US" w:eastAsia="zh-CN" w:bidi="ar"/>
              </w:rPr>
              <w:t>4</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89" w:name="_Toc23586"/>
      <w:bookmarkStart w:id="90" w:name="_Toc22881"/>
      <w:bookmarkStart w:id="91" w:name="_Toc445"/>
      <w:bookmarkStart w:id="92" w:name="_Toc12083"/>
      <w:bookmarkStart w:id="93" w:name="_Toc1362"/>
      <w:r>
        <w:rPr>
          <w:rFonts w:hint="eastAsia" w:ascii="方正黑体_GBK" w:hAnsi="方正黑体_GBK" w:eastAsia="方正黑体_GBK" w:cs="方正黑体_GBK"/>
          <w:snapToGrid/>
          <w:color w:val="000000"/>
          <w:kern w:val="2"/>
          <w:sz w:val="32"/>
          <w:szCs w:val="32"/>
          <w:lang w:val="en-US" w:eastAsia="zh-CN"/>
        </w:rPr>
        <w:t>三、</w:t>
      </w:r>
      <w:bookmarkEnd w:id="89"/>
      <w:bookmarkEnd w:id="90"/>
      <w:bookmarkEnd w:id="91"/>
      <w:r>
        <w:rPr>
          <w:rFonts w:hint="eastAsia" w:ascii="方正黑体_GBK" w:hAnsi="方正黑体_GBK" w:eastAsia="方正黑体_GBK" w:cs="方正黑体_GBK"/>
          <w:snapToGrid/>
          <w:color w:val="000000"/>
          <w:kern w:val="2"/>
          <w:sz w:val="32"/>
          <w:szCs w:val="32"/>
          <w:lang w:val="en-US" w:eastAsia="zh-CN"/>
        </w:rPr>
        <w:t>殡葬设施用地需求预测及分析</w:t>
      </w:r>
      <w:bookmarkEnd w:id="92"/>
      <w:bookmarkEnd w:id="9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bookmarkStart w:id="94" w:name="_Toc3461"/>
      <w:bookmarkStart w:id="95" w:name="_Toc29908"/>
      <w:r>
        <w:rPr>
          <w:rFonts w:hint="eastAsia" w:ascii="方正楷体_GBK" w:hAnsi="方正楷体_GBK" w:eastAsia="方正楷体_GBK" w:cs="方正楷体_GBK"/>
          <w:b/>
          <w:bCs/>
          <w:snapToGrid/>
          <w:color w:val="000000"/>
          <w:kern w:val="2"/>
          <w:sz w:val="32"/>
          <w:szCs w:val="32"/>
          <w:lang w:val="en-US" w:eastAsia="zh-CN" w:bidi="ar-SA"/>
        </w:rPr>
        <w:t>（一）根据人口测算的殡葬用地需求</w:t>
      </w:r>
      <w:bookmarkEnd w:id="94"/>
    </w:p>
    <w:bookmarkEnd w:id="95"/>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pPr>
      <w:r>
        <w:rPr>
          <w:rFonts w:hint="eastAsia" w:ascii="方正仿宋_GBK" w:hAnsi="方正仿宋_GBK" w:eastAsia="方正仿宋_GBK" w:cs="方正仿宋_GBK"/>
          <w:color w:val="auto"/>
          <w:kern w:val="2"/>
          <w:sz w:val="32"/>
          <w:szCs w:val="32"/>
          <w:lang w:val="en-US" w:eastAsia="zh-CN" w:bidi="ar-SA"/>
        </w:rPr>
        <w:t>公墓规划用地包括土葬用地和火葬用地，回族尊重各民族葬式葬法全部采用土葬，汉族采用土葬和火葬两种方式，结合青铜峡市和利通区实际情况，采用火葬</w:t>
      </w:r>
      <w:r>
        <w:rPr>
          <w:rFonts w:hint="eastAsia" w:ascii="方正仿宋_GBK" w:hAnsi="方正仿宋_GBK" w:eastAsia="方正仿宋_GBK" w:cs="方正仿宋_GBK"/>
          <w:color w:val="auto"/>
          <w:kern w:val="2"/>
          <w:sz w:val="32"/>
          <w:szCs w:val="32"/>
          <w:highlight w:val="none"/>
          <w:lang w:val="en-US" w:eastAsia="zh-CN" w:bidi="ar-SA"/>
        </w:rPr>
        <w:t>和土葬两种方式，</w:t>
      </w:r>
      <w:r>
        <w:rPr>
          <w:rFonts w:hint="eastAsia" w:ascii="方正仿宋_GBK" w:hAnsi="方正仿宋_GBK" w:eastAsia="方正仿宋_GBK" w:cs="方正仿宋_GBK"/>
          <w:color w:val="000000" w:themeColor="text1"/>
          <w:kern w:val="2"/>
          <w:sz w:val="32"/>
          <w:szCs w:val="32"/>
          <w:highlight w:val="none"/>
          <w:lang w:val="en-US" w:eastAsia="zh-CN" w:bidi="ar-SA"/>
          <w14:textFill>
            <w14:solidFill>
              <w14:schemeClr w14:val="tx1"/>
            </w14:solidFill>
          </w14:textFill>
        </w:rPr>
        <w:t>2035年前将青铜峡市、利通区纳入火葬区，2040年火葬率达到10%以上，至2072年火葬率达到60%以上。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根据文件要求，殡葬规划用地主要由墓位、绿化、道路和基础设施等组成，其中道路、绿化等基础设施占地面积不</w:t>
      </w:r>
      <w:r>
        <w:rPr>
          <w:rFonts w:hint="eastAsia" w:ascii="方正仿宋_GBK" w:hAnsi="方正仿宋_GBK" w:eastAsia="方正仿宋_GBK" w:cs="方正仿宋_GBK"/>
          <w:color w:val="auto"/>
          <w:kern w:val="2"/>
          <w:sz w:val="32"/>
          <w:szCs w:val="32"/>
          <w:highlight w:val="none"/>
          <w:lang w:val="en-US" w:eastAsia="zh-CN" w:bidi="ar-SA"/>
        </w:rPr>
        <w:t>少于公墓总面积的60%</w:t>
      </w:r>
      <w:r>
        <w:rPr>
          <w:rFonts w:hint="eastAsia" w:ascii="方正仿宋_GBK" w:hAnsi="方正仿宋_GBK" w:eastAsia="方正仿宋_GBK" w:cs="方正仿宋_GBK"/>
          <w:color w:val="auto"/>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b/>
          <w:bCs/>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1.青铜峡市殡葬用地需求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bookmarkStart w:id="96" w:name="_Toc13858"/>
      <w:r>
        <w:rPr>
          <w:rFonts w:hint="eastAsia" w:ascii="方正仿宋_GBK" w:hAnsi="方正仿宋_GBK" w:eastAsia="方正仿宋_GBK" w:cs="方正仿宋_GBK"/>
          <w:color w:val="auto"/>
          <w:kern w:val="2"/>
          <w:sz w:val="32"/>
          <w:szCs w:val="32"/>
          <w:highlight w:val="none"/>
          <w:lang w:val="en-US" w:eastAsia="zh-CN" w:bidi="ar-SA"/>
        </w:rPr>
        <w:t>近期2023-2027年，殡葬用地总需求232亩，其中汉族殡葬用地需求183亩，回族殡葬用地需求49亩。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远期2028-2035年，殡葬用地总需求336亩，其中汉族殡葬用地需求249亩，回族殡葬用地需求87亩。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远景展望至2070年，殡葬用地总需求1357亩，其中汉族殡葬用地需求935亩，回族殡葬用地需求422亩。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b/>
          <w:bCs/>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2.利通区殡葬用地需求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近期2023-2027年，殡葬用地总需求134亩，其中汉族殡葬用地需求122亩，回族殡葬用地需求12亩。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远期</w:t>
      </w:r>
      <w:r>
        <w:rPr>
          <w:rFonts w:hint="eastAsia" w:ascii="方正仿宋_GBK" w:hAnsi="方正仿宋_GBK" w:eastAsia="方正仿宋_GBK" w:cs="方正仿宋_GBK"/>
          <w:color w:val="auto"/>
          <w:kern w:val="2"/>
          <w:sz w:val="32"/>
          <w:szCs w:val="32"/>
          <w:highlight w:val="none"/>
          <w:lang w:val="en-US" w:eastAsia="zh-CN" w:bidi="ar-SA"/>
        </w:rPr>
        <w:t>2028-2035年，</w:t>
      </w:r>
      <w:r>
        <w:rPr>
          <w:rFonts w:hint="eastAsia" w:ascii="方正仿宋_GBK" w:hAnsi="方正仿宋_GBK" w:eastAsia="方正仿宋_GBK" w:cs="方正仿宋_GBK"/>
          <w:color w:val="auto"/>
          <w:kern w:val="2"/>
          <w:sz w:val="32"/>
          <w:szCs w:val="32"/>
          <w:lang w:val="en-US" w:eastAsia="zh-CN" w:bidi="ar-SA"/>
        </w:rPr>
        <w:t>殡葬用地总需求量178亩，其中汉族殡葬用地需求110亩，回族殡葬用地需求68亩。</w:t>
      </w:r>
    </w:p>
    <w:bookmarkEnd w:id="96"/>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（二）影响墓地用地需求的其他因素</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青铜峡市殡葬用地在考虑青铜峡市死亡人口的基础上，一是考虑利通区48%的汉族和20%的回族死亡人口；二是根据全市重点项目建设和牛首山景区建设，预测需迁移坟墓数量。据调查，牛首山公墓范围外约有6000座散埋坟墓迁进牛首山公墓范围内，还需用地188亩。甘城子至广武30万亩葡萄种植长廊建设项目建设区域内，约有2000座散埋坟墓，需迁移至西山公墓，用地63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97" w:name="_Toc16883"/>
      <w:bookmarkStart w:id="98" w:name="_Toc5800"/>
      <w:bookmarkStart w:id="99" w:name="_Toc28254"/>
      <w:bookmarkStart w:id="100" w:name="_Toc19222"/>
      <w:r>
        <w:rPr>
          <w:rFonts w:hint="eastAsia" w:ascii="方正黑体_GBK" w:hAnsi="方正黑体_GBK" w:eastAsia="方正黑体_GBK" w:cs="方正黑体_GBK"/>
          <w:snapToGrid/>
          <w:color w:val="000000"/>
          <w:kern w:val="2"/>
          <w:sz w:val="32"/>
          <w:szCs w:val="32"/>
          <w:lang w:val="en-US" w:eastAsia="zh-CN"/>
        </w:rPr>
        <w:t>四、现有殡葬用地情况</w:t>
      </w:r>
      <w:bookmarkEnd w:id="97"/>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方正仿宋_GBK" w:hAnsi="方正仿宋_GBK" w:eastAsia="方正仿宋_GBK" w:cs="方正仿宋_GBK"/>
          <w:color w:val="auto"/>
          <w:kern w:val="2"/>
          <w:sz w:val="32"/>
          <w:szCs w:val="32"/>
          <w:highlight w:val="cyan"/>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青铜峡市现有公墓总面积为6962亩，已利用3006亩，不可利用542亩，实际剩余可使用面积3476亩。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01" w:name="_Toc17387"/>
      <w:bookmarkStart w:id="102" w:name="_Toc2251"/>
      <w:bookmarkStart w:id="103" w:name="_Toc424"/>
      <w:bookmarkStart w:id="104" w:name="_Toc16416"/>
      <w:r>
        <w:rPr>
          <w:rFonts w:hint="eastAsia" w:ascii="方正黑体_GBK" w:hAnsi="方正黑体_GBK" w:eastAsia="方正黑体_GBK" w:cs="方正黑体_GBK"/>
          <w:snapToGrid/>
          <w:color w:val="000000"/>
          <w:kern w:val="2"/>
          <w:sz w:val="32"/>
          <w:szCs w:val="32"/>
          <w:lang w:val="en-US" w:eastAsia="zh-CN"/>
        </w:rPr>
        <w:t>五、殡葬用地总需求</w:t>
      </w:r>
      <w:bookmarkEnd w:id="101"/>
      <w:bookmarkEnd w:id="102"/>
      <w:bookmarkEnd w:id="103"/>
      <w:bookmarkEnd w:id="104"/>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根据青铜峡市人口测算的殡葬用地需求和青铜峡市积极改革土葬，推行火葬等因素测算的殡葬用地需求，全市殡葬用地总需求2488亩，其中汉族殡葬用地需求1850亩，回族殡葬用地需求638亩。结合青铜峡市各公墓服务范围和分布情况，基本满足全市50年的殡葬用地需求。详见表5。下一步将请示政府加大政府投资力度，完善公益性公墓基础设施建设，加强公墓规范化管理，积极引导群众到公益性公墓进行安葬。报请市人民政府建议利通区人民政府加快筹划建设利通区汉民公益性公墓，引导利通区回、汉民群众依法依规在利通区境内公墓进行</w:t>
      </w:r>
      <w:r>
        <w:rPr>
          <w:rFonts w:hint="eastAsia" w:ascii="方正仿宋_GBK" w:hAnsi="方正仿宋_GBK" w:eastAsia="方正仿宋_GBK" w:cs="方正仿宋_GBK"/>
          <w:color w:val="auto"/>
          <w:kern w:val="2"/>
          <w:sz w:val="32"/>
          <w:szCs w:val="32"/>
          <w:lang w:val="en-US" w:eastAsia="zh-CN" w:bidi="ar-SA"/>
        </w:rPr>
        <w:t>安葬。</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05" w:name="_Toc26575"/>
      <w:bookmarkStart w:id="106" w:name="_Toc5127"/>
      <w:bookmarkStart w:id="107" w:name="_Toc8989"/>
      <w:bookmarkStart w:id="108" w:name="_Toc12699"/>
      <w:bookmarkStart w:id="109" w:name="_Toc1233"/>
      <w:r>
        <w:rPr>
          <w:rFonts w:hint="eastAsia" w:ascii="方正黑体_GBK" w:hAnsi="方正黑体_GBK" w:eastAsia="方正黑体_GBK" w:cs="方正黑体_GBK"/>
          <w:snapToGrid/>
          <w:color w:val="000000"/>
          <w:kern w:val="2"/>
          <w:sz w:val="32"/>
          <w:szCs w:val="32"/>
          <w:lang w:val="en-US" w:eastAsia="zh-CN"/>
        </w:rPr>
        <w:t>六、各公墓用地需求</w:t>
      </w:r>
      <w:bookmarkEnd w:id="105"/>
      <w:bookmarkEnd w:id="106"/>
      <w:bookmarkEnd w:id="107"/>
      <w:bookmarkEnd w:id="108"/>
      <w:bookmarkEnd w:id="10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（一）</w:t>
      </w:r>
      <w:r>
        <w:rPr>
          <w:rFonts w:hint="eastAsia" w:ascii="方正仿宋_GBK" w:hAnsi="方正仿宋_GBK" w:eastAsia="方正仿宋_GBK" w:cs="方正仿宋_GBK"/>
          <w:color w:val="auto"/>
          <w:kern w:val="2"/>
          <w:sz w:val="32"/>
          <w:szCs w:val="32"/>
          <w:highlight w:val="none"/>
          <w:lang w:val="en-US" w:eastAsia="zh-CN" w:bidi="ar-SA"/>
        </w:rPr>
        <w:t>西山公墓总面积2683亩，剩余可利用面积1136亩，共需求用地1416亩，能满足50年殡葬用地需求。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（二）</w:t>
      </w:r>
      <w:r>
        <w:rPr>
          <w:rFonts w:hint="eastAsia" w:ascii="方正仿宋_GBK" w:hAnsi="方正仿宋_GBK" w:eastAsia="方正仿宋_GBK" w:cs="方正仿宋_GBK"/>
          <w:color w:val="auto"/>
          <w:kern w:val="2"/>
          <w:sz w:val="32"/>
          <w:szCs w:val="32"/>
          <w:highlight w:val="none"/>
          <w:lang w:val="en-US" w:eastAsia="zh-CN" w:bidi="ar-SA"/>
        </w:rPr>
        <w:t>牛首山公墓总面积2586亩，剩余可利用面积1503亩，共需求用地921亩，能满足50年的殡葬用地需求。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（三）</w:t>
      </w:r>
      <w:r>
        <w:rPr>
          <w:rFonts w:hint="eastAsia" w:ascii="方正仿宋_GBK" w:hAnsi="方正仿宋_GBK" w:eastAsia="方正仿宋_GBK" w:cs="方正仿宋_GBK"/>
          <w:color w:val="auto"/>
          <w:kern w:val="2"/>
          <w:sz w:val="32"/>
          <w:szCs w:val="32"/>
          <w:highlight w:val="none"/>
          <w:lang w:val="en-US" w:eastAsia="zh-CN" w:bidi="ar-SA"/>
        </w:rPr>
        <w:t>铝厂公墓总面积1693亩，剩余可利用837亩，共需求用地151亩，能满足50年的殡葬用地需求。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 w:hAnsi="仿宋" w:eastAsia="仿宋" w:cs="仿宋"/>
          <w:kern w:val="2"/>
          <w:sz w:val="30"/>
          <w:szCs w:val="30"/>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（四）</w:t>
      </w:r>
      <w:r>
        <w:rPr>
          <w:rFonts w:hint="eastAsia" w:ascii="Calibri" w:hAnsi="Calibri" w:eastAsia="方正仿宋_GBK" w:cs="Calibri"/>
          <w:color w:val="auto"/>
          <w:kern w:val="2"/>
          <w:sz w:val="32"/>
          <w:szCs w:val="32"/>
          <w:highlight w:val="none"/>
          <w:lang w:val="en-US" w:eastAsia="zh-CN" w:bidi="ar-SA"/>
        </w:rPr>
        <w:t>臭泉</w:t>
      </w:r>
      <w:r>
        <w:rPr>
          <w:rFonts w:hint="eastAsia" w:ascii="方正仿宋_GBK" w:hAnsi="方正仿宋_GBK" w:eastAsia="方正仿宋_GBK" w:cs="方正仿宋_GBK"/>
          <w:color w:val="auto"/>
          <w:kern w:val="2"/>
          <w:sz w:val="32"/>
          <w:szCs w:val="32"/>
          <w:highlight w:val="none"/>
          <w:lang w:val="en-US" w:eastAsia="zh-CN" w:bidi="ar-SA"/>
        </w:rPr>
        <w:t>沟公益性公墓维持公墓现状，不再允许群众在公墓内安葬，不再扩大埋葬范围，引导周边回族群众集中安葬于牛首山回民公益性</w:t>
      </w:r>
      <w:r>
        <w:rPr>
          <w:rFonts w:hint="eastAsia" w:ascii="方正仿宋_GBK" w:hAnsi="方正仿宋_GBK" w:eastAsia="方正仿宋_GBK" w:cs="方正仿宋_GBK"/>
          <w:color w:val="auto"/>
          <w:kern w:val="2"/>
          <w:sz w:val="32"/>
          <w:szCs w:val="32"/>
          <w:lang w:val="en-US" w:eastAsia="zh-CN" w:bidi="ar-SA"/>
        </w:rPr>
        <w:t>墓区。</w:t>
      </w:r>
    </w:p>
    <w:p>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30"/>
          <w:szCs w:val="30"/>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30"/>
          <w:szCs w:val="30"/>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30"/>
          <w:szCs w:val="30"/>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30"/>
          <w:szCs w:val="30"/>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kern w:val="2"/>
          <w:sz w:val="30"/>
          <w:szCs w:val="30"/>
          <w:lang w:val="en-US" w:eastAsia="zh-CN" w:bidi="ar-SA"/>
        </w:rPr>
      </w:pPr>
      <w:bookmarkStart w:id="184" w:name="_GoBack"/>
      <w:bookmarkEnd w:id="184"/>
      <w:r>
        <w:rPr>
          <w:rFonts w:hint="eastAsia" w:ascii="仿宋" w:hAnsi="仿宋" w:eastAsia="仿宋" w:cs="仿宋"/>
          <w:kern w:val="2"/>
          <w:sz w:val="30"/>
          <w:szCs w:val="30"/>
          <w:lang w:val="en-US" w:eastAsia="zh-CN" w:bidi="ar-SA"/>
        </w:rPr>
        <w:t>表5 殡葬用地需求统计</w:t>
      </w:r>
    </w:p>
    <w:p>
      <w:pPr>
        <w:pStyle w:val="3"/>
        <w:keepNext w:val="0"/>
        <w:keepLines w:val="0"/>
        <w:pageBreakBefore w:val="0"/>
        <w:widowControl w:val="0"/>
        <w:kinsoku/>
        <w:wordWrap/>
        <w:overflowPunct/>
        <w:topLinePunct w:val="0"/>
        <w:autoSpaceDE/>
        <w:autoSpaceDN/>
        <w:bidi w:val="0"/>
        <w:adjustRightInd/>
        <w:snapToGrid/>
        <w:spacing w:line="560" w:lineRule="exact"/>
        <w:jc w:val="right"/>
        <w:textAlignment w:val="auto"/>
        <w:outlineLvl w:val="9"/>
        <w:rPr>
          <w:rFonts w:hint="eastAsia" w:ascii="仿宋" w:hAnsi="仿宋" w:eastAsia="仿宋" w:cs="仿宋"/>
          <w:i w:val="0"/>
          <w:iCs w:val="0"/>
          <w:caps w:val="0"/>
          <w:color w:val="auto"/>
          <w:spacing w:val="0"/>
          <w:kern w:val="2"/>
          <w:sz w:val="28"/>
          <w:szCs w:val="28"/>
          <w:highlight w:val="none"/>
          <w:shd w:val="clear" w:fill="FFFFFF"/>
          <w:lang w:val="en-US" w:eastAsia="zh-CN" w:bidi="ar-SA"/>
        </w:rPr>
      </w:pPr>
      <w:r>
        <w:rPr>
          <w:rFonts w:hint="eastAsia" w:ascii="仿宋" w:hAnsi="仿宋" w:eastAsia="仿宋" w:cs="仿宋"/>
          <w:i w:val="0"/>
          <w:iCs w:val="0"/>
          <w:caps w:val="0"/>
          <w:color w:val="auto"/>
          <w:spacing w:val="0"/>
          <w:kern w:val="2"/>
          <w:sz w:val="28"/>
          <w:szCs w:val="28"/>
          <w:highlight w:val="none"/>
          <w:shd w:val="clear" w:fill="FFFFFF"/>
          <w:lang w:val="en-US" w:eastAsia="zh-CN" w:bidi="ar-SA"/>
        </w:rPr>
        <w:t>单位：亩</w:t>
      </w:r>
    </w:p>
    <w:tbl>
      <w:tblPr>
        <w:tblStyle w:val="10"/>
        <w:tblW w:w="96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972"/>
        <w:gridCol w:w="14"/>
        <w:gridCol w:w="979"/>
        <w:gridCol w:w="987"/>
        <w:gridCol w:w="869"/>
        <w:gridCol w:w="118"/>
        <w:gridCol w:w="875"/>
        <w:gridCol w:w="171"/>
        <w:gridCol w:w="816"/>
        <w:gridCol w:w="987"/>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2849" w:type="dxa"/>
            <w:gridSpan w:val="3"/>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公墓名称</w:t>
            </w:r>
          </w:p>
        </w:tc>
        <w:tc>
          <w:tcPr>
            <w:tcW w:w="2835" w:type="dxa"/>
            <w:gridSpan w:val="3"/>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服务范围</w:t>
            </w:r>
          </w:p>
        </w:tc>
        <w:tc>
          <w:tcPr>
            <w:tcW w:w="993" w:type="dxa"/>
            <w:gridSpan w:val="2"/>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总面积</w:t>
            </w:r>
          </w:p>
        </w:tc>
        <w:tc>
          <w:tcPr>
            <w:tcW w:w="987" w:type="dxa"/>
            <w:gridSpan w:val="2"/>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现存量</w:t>
            </w:r>
          </w:p>
        </w:tc>
        <w:tc>
          <w:tcPr>
            <w:tcW w:w="987"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需求量</w:t>
            </w:r>
          </w:p>
        </w:tc>
        <w:tc>
          <w:tcPr>
            <w:tcW w:w="1046"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还需用地面积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8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西山公墓</w:t>
            </w: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198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汉民经营性墓区</w:t>
            </w:r>
          </w:p>
        </w:tc>
        <w:tc>
          <w:tcPr>
            <w:tcW w:w="2835" w:type="dxa"/>
            <w:gridSpan w:val="3"/>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青铜峡市80%的汉族群众及2000座迁坟坟墓</w:t>
            </w: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1500</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445</w:t>
            </w:r>
          </w:p>
        </w:tc>
        <w:tc>
          <w:tcPr>
            <w:tcW w:w="987"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1146</w:t>
            </w:r>
          </w:p>
        </w:tc>
        <w:tc>
          <w:tcPr>
            <w:tcW w:w="1046" w:type="dxa"/>
            <w:vMerge w:val="restart"/>
            <w:vAlign w:val="center"/>
          </w:tcPr>
          <w:p>
            <w:pPr>
              <w:pStyle w:val="3"/>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outlineLvl w:val="9"/>
              <w:rPr>
                <w:rFonts w:hint="default" w:ascii="仿宋_GB2312" w:hAnsi="仿宋_GB2312" w:eastAsia="仿宋_GB2312" w:cs="仿宋_GB2312"/>
                <w:color w:val="auto"/>
                <w:kern w:val="0"/>
                <w:sz w:val="24"/>
                <w:szCs w:val="24"/>
                <w:lang w:val="en-US" w:eastAsia="zh-CN" w:bidi="ar-SA"/>
              </w:rPr>
            </w:pPr>
            <w:r>
              <w:rPr>
                <w:rFonts w:hint="eastAsia" w:ascii="仿宋_GB2312" w:hAnsi="仿宋_GB2312" w:eastAsia="仿宋_GB2312" w:cs="仿宋_GB2312"/>
                <w:color w:val="auto"/>
                <w:kern w:val="0"/>
                <w:sz w:val="24"/>
                <w:szCs w:val="24"/>
                <w:lang w:val="en-US" w:eastAsia="zh-CN" w:bidi="ar-SA"/>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exact"/>
          <w:jc w:val="center"/>
        </w:trPr>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198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汉民经营性墓区50年预留用地</w:t>
            </w:r>
          </w:p>
        </w:tc>
        <w:tc>
          <w:tcPr>
            <w:tcW w:w="2835" w:type="dxa"/>
            <w:gridSpan w:val="3"/>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907</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498</w:t>
            </w:r>
          </w:p>
        </w:tc>
        <w:tc>
          <w:tcPr>
            <w:tcW w:w="987"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kern w:val="0"/>
                <w:sz w:val="24"/>
                <w:szCs w:val="24"/>
                <w:u w:val="none"/>
                <w:lang w:val="en-US" w:eastAsia="zh-CN" w:bidi="ar"/>
              </w:rPr>
            </w:pPr>
          </w:p>
        </w:tc>
        <w:tc>
          <w:tcPr>
            <w:tcW w:w="104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仿宋_GB2312" w:hAnsi="宋体" w:eastAsia="仿宋_GB2312" w:cs="仿宋_GB2312"/>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exact"/>
          <w:jc w:val="center"/>
        </w:trPr>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198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回民公益性墓区</w:t>
            </w:r>
          </w:p>
        </w:tc>
        <w:tc>
          <w:tcPr>
            <w:tcW w:w="2835"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青铜峡市50%的回族群众</w:t>
            </w: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276</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193</w:t>
            </w:r>
          </w:p>
        </w:tc>
        <w:tc>
          <w:tcPr>
            <w:tcW w:w="9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270</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exact"/>
          <w:jc w:val="center"/>
        </w:trPr>
        <w:tc>
          <w:tcPr>
            <w:tcW w:w="8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牛首山公墓</w:t>
            </w:r>
          </w:p>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198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汉民经营性墓区</w:t>
            </w:r>
          </w:p>
        </w:tc>
        <w:tc>
          <w:tcPr>
            <w:tcW w:w="2835"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b w:val="0"/>
                <w:bCs w:val="0"/>
                <w:i w:val="0"/>
                <w:iCs w:val="0"/>
                <w:color w:val="000000"/>
                <w:kern w:val="0"/>
                <w:sz w:val="24"/>
                <w:szCs w:val="24"/>
                <w:u w:val="none"/>
                <w:lang w:val="en-US" w:eastAsia="zh-CN" w:bidi="ar"/>
              </w:rPr>
              <w:t>利通区28%汉族群众，青铜峡10%的汉族群众</w:t>
            </w: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1000</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691</w:t>
            </w:r>
          </w:p>
        </w:tc>
        <w:tc>
          <w:tcPr>
            <w:tcW w:w="9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421</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kern w:val="0"/>
                <w:sz w:val="24"/>
                <w:szCs w:val="24"/>
                <w:highlight w:val="none"/>
                <w:u w:val="none"/>
                <w:lang w:val="en-US" w:eastAsia="zh-CN" w:bidi="ar"/>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5" w:hRule="atLeast"/>
          <w:jc w:val="center"/>
        </w:trPr>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198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汉民公益性墓区</w:t>
            </w:r>
          </w:p>
        </w:tc>
        <w:tc>
          <w:tcPr>
            <w:tcW w:w="2835"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利通区20%汉族群众，将吴忠市汉民公墓范围外约6000座坟迁进吴忠市汉民公墓范围内</w:t>
            </w: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959</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331</w:t>
            </w:r>
          </w:p>
        </w:tc>
        <w:tc>
          <w:tcPr>
            <w:tcW w:w="9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136</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kern w:val="0"/>
                <w:sz w:val="24"/>
                <w:szCs w:val="24"/>
                <w:highlight w:val="none"/>
                <w:u w:val="none"/>
                <w:lang w:val="en-US" w:eastAsia="zh-CN" w:bidi="ar"/>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exact"/>
          <w:jc w:val="center"/>
        </w:trPr>
        <w:tc>
          <w:tcPr>
            <w:tcW w:w="863"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p>
        </w:tc>
        <w:tc>
          <w:tcPr>
            <w:tcW w:w="198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回民公益性墓区</w:t>
            </w:r>
          </w:p>
        </w:tc>
        <w:tc>
          <w:tcPr>
            <w:tcW w:w="2835"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青铜峡市50%回族群众，利通区20%回族群众</w:t>
            </w: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627</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481</w:t>
            </w:r>
          </w:p>
        </w:tc>
        <w:tc>
          <w:tcPr>
            <w:tcW w:w="9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364</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kern w:val="0"/>
                <w:sz w:val="24"/>
                <w:szCs w:val="24"/>
                <w:highlight w:val="none"/>
                <w:u w:val="none"/>
                <w:lang w:val="en-US" w:eastAsia="zh-CN" w:bidi="ar"/>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849"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铝厂公墓</w:t>
            </w:r>
          </w:p>
        </w:tc>
        <w:tc>
          <w:tcPr>
            <w:tcW w:w="2835"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right="0" w:rightChars="0" w:firstLine="0" w:firstLineChars="0"/>
              <w:jc w:val="center"/>
              <w:textAlignment w:val="center"/>
              <w:outlineLvl w:val="9"/>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青铜峡10%的汉族群众</w:t>
            </w: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1693</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default" w:ascii="方正仿宋_GBK" w:hAnsi="方正仿宋_GBK" w:eastAsia="方正仿宋_GBK" w:cs="方正仿宋_GBK"/>
                <w:i w:val="0"/>
                <w:iCs w:val="0"/>
                <w:color w:val="000000"/>
                <w:sz w:val="24"/>
                <w:szCs w:val="24"/>
                <w:u w:val="none"/>
                <w:lang w:val="en-US" w:eastAsia="zh-CN"/>
              </w:rPr>
              <w:t>837</w:t>
            </w:r>
          </w:p>
        </w:tc>
        <w:tc>
          <w:tcPr>
            <w:tcW w:w="9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kern w:val="0"/>
                <w:sz w:val="24"/>
                <w:szCs w:val="24"/>
                <w:u w:val="none"/>
                <w:lang w:val="en-US" w:eastAsia="zh-CN" w:bidi="ar"/>
              </w:rPr>
              <w:t>151</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3"/>
          <w:wAfter w:w="2849" w:type="dxa"/>
          <w:trHeight w:val="596" w:hRule="atLeast"/>
          <w:jc w:val="center"/>
        </w:trPr>
        <w:tc>
          <w:tcPr>
            <w:tcW w:w="2835"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z w:val="24"/>
                <w:szCs w:val="24"/>
                <w:u w:val="none"/>
                <w:lang w:val="en-US" w:eastAsia="zh-CN"/>
              </w:rPr>
            </w:pPr>
            <w:r>
              <w:rPr>
                <w:rFonts w:hint="eastAsia" w:ascii="方正仿宋_GBK" w:hAnsi="方正仿宋_GBK" w:eastAsia="方正仿宋_GBK" w:cs="方正仿宋_GBK"/>
                <w:b/>
                <w:bCs/>
                <w:i w:val="0"/>
                <w:iCs w:val="0"/>
                <w:color w:val="000000"/>
                <w:sz w:val="24"/>
                <w:szCs w:val="24"/>
                <w:u w:val="none"/>
                <w:lang w:val="en-US" w:eastAsia="zh-CN"/>
              </w:rPr>
              <w:t>合计</w:t>
            </w:r>
          </w:p>
        </w:tc>
        <w:tc>
          <w:tcPr>
            <w:tcW w:w="993"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default" w:ascii="方正仿宋_GBK" w:hAnsi="方正仿宋_GBK" w:eastAsia="方正仿宋_GBK" w:cs="方正仿宋_GBK"/>
                <w:b/>
                <w:bCs/>
                <w:i w:val="0"/>
                <w:iCs w:val="0"/>
                <w:color w:val="000000"/>
                <w:sz w:val="24"/>
                <w:szCs w:val="24"/>
                <w:u w:val="none"/>
                <w:lang w:val="en-US" w:eastAsia="zh-CN"/>
              </w:rPr>
            </w:pPr>
            <w:r>
              <w:rPr>
                <w:rFonts w:hint="eastAsia" w:ascii="方正仿宋_GBK" w:hAnsi="方正仿宋_GBK" w:eastAsia="方正仿宋_GBK" w:cs="方正仿宋_GBK"/>
                <w:b/>
                <w:bCs/>
                <w:i w:val="0"/>
                <w:iCs w:val="0"/>
                <w:color w:val="000000"/>
                <w:sz w:val="24"/>
                <w:szCs w:val="24"/>
                <w:u w:val="none"/>
                <w:lang w:val="en-US" w:eastAsia="zh-CN"/>
              </w:rPr>
              <w:t>6046</w:t>
            </w:r>
          </w:p>
        </w:tc>
        <w:tc>
          <w:tcPr>
            <w:tcW w:w="98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z w:val="24"/>
                <w:szCs w:val="24"/>
                <w:u w:val="none"/>
                <w:lang w:val="en-US" w:eastAsia="zh-CN"/>
              </w:rPr>
            </w:pPr>
            <w:r>
              <w:rPr>
                <w:rFonts w:hint="eastAsia" w:ascii="方正仿宋_GBK" w:hAnsi="方正仿宋_GBK" w:eastAsia="方正仿宋_GBK" w:cs="方正仿宋_GBK"/>
                <w:b/>
                <w:bCs/>
                <w:i w:val="0"/>
                <w:iCs w:val="0"/>
                <w:color w:val="000000"/>
                <w:sz w:val="24"/>
                <w:szCs w:val="24"/>
                <w:u w:val="none"/>
                <w:lang w:val="en-US" w:eastAsia="zh-CN"/>
              </w:rPr>
              <w:t>3152</w:t>
            </w:r>
          </w:p>
        </w:tc>
        <w:tc>
          <w:tcPr>
            <w:tcW w:w="987"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z w:val="24"/>
                <w:szCs w:val="24"/>
                <w:u w:val="none"/>
                <w:lang w:val="en-US" w:eastAsia="zh-CN"/>
              </w:rPr>
            </w:pPr>
            <w:r>
              <w:rPr>
                <w:rFonts w:hint="eastAsia" w:ascii="方正仿宋_GBK" w:hAnsi="方正仿宋_GBK" w:eastAsia="方正仿宋_GBK" w:cs="方正仿宋_GBK"/>
                <w:b/>
                <w:bCs/>
                <w:i w:val="0"/>
                <w:iCs w:val="0"/>
                <w:color w:val="000000"/>
                <w:sz w:val="24"/>
                <w:szCs w:val="24"/>
                <w:u w:val="none"/>
                <w:lang w:val="en-US" w:eastAsia="zh-CN"/>
              </w:rPr>
              <w:t>2488</w:t>
            </w:r>
          </w:p>
        </w:tc>
        <w:tc>
          <w:tcPr>
            <w:tcW w:w="104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right="0" w:rightChars="0" w:firstLine="0" w:firstLineChars="0"/>
              <w:jc w:val="center"/>
              <w:textAlignment w:val="center"/>
              <w:outlineLvl w:val="9"/>
              <w:rPr>
                <w:rFonts w:hint="eastAsia" w:ascii="方正仿宋_GBK" w:hAnsi="方正仿宋_GBK" w:eastAsia="方正仿宋_GBK" w:cs="方正仿宋_GBK"/>
                <w:b/>
                <w:bCs/>
                <w:i w:val="0"/>
                <w:iCs w:val="0"/>
                <w:color w:val="000000"/>
                <w:sz w:val="24"/>
                <w:szCs w:val="24"/>
                <w:u w:val="none"/>
                <w:lang w:val="en-US" w:eastAsia="zh-CN"/>
              </w:rPr>
            </w:pPr>
            <w:r>
              <w:rPr>
                <w:rFonts w:hint="eastAsia" w:ascii="方正仿宋_GBK" w:hAnsi="方正仿宋_GBK" w:eastAsia="方正仿宋_GBK" w:cs="方正仿宋_GBK"/>
                <w:b/>
                <w:bCs/>
                <w:i w:val="0"/>
                <w:iCs w:val="0"/>
                <w:color w:val="000000"/>
                <w:sz w:val="24"/>
                <w:szCs w:val="24"/>
                <w:u w:val="none"/>
                <w:lang w:val="en-US" w:eastAsia="zh-CN"/>
              </w:rPr>
              <w:t>700</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10" w:name="_Toc16533"/>
      <w:bookmarkStart w:id="111" w:name="_Toc21399"/>
      <w:bookmarkStart w:id="112" w:name="_Toc10886"/>
      <w:r>
        <w:rPr>
          <w:rFonts w:hint="eastAsia" w:ascii="方正黑体_GBK" w:hAnsi="方正黑体_GBK" w:eastAsia="方正黑体_GBK" w:cs="方正黑体_GBK"/>
          <w:snapToGrid/>
          <w:color w:val="000000"/>
          <w:kern w:val="2"/>
          <w:sz w:val="32"/>
          <w:szCs w:val="32"/>
          <w:lang w:val="en-US" w:eastAsia="zh-CN"/>
        </w:rPr>
        <w:t>七、各公墓（近期、远期、远景）用地需求</w:t>
      </w:r>
      <w:bookmarkEnd w:id="110"/>
      <w:bookmarkEnd w:id="111"/>
      <w:bookmarkEnd w:id="112"/>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楷体_GBK" w:hAnsi="方正楷体_GBK" w:eastAsia="方正楷体_GBK" w:cs="方正楷体_GBK"/>
          <w:b w:val="0"/>
          <w:bCs w:val="0"/>
          <w:i w:val="0"/>
          <w:iCs w:val="0"/>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（一）近期规划（2023-2027）。</w:t>
      </w:r>
      <w:r>
        <w:rPr>
          <w:rFonts w:hint="eastAsia" w:ascii="方正仿宋_GBK" w:hAnsi="方正仿宋_GBK" w:eastAsia="方正仿宋_GBK" w:cs="方正仿宋_GBK"/>
          <w:b w:val="0"/>
          <w:bCs w:val="0"/>
          <w:i w:val="0"/>
          <w:iCs w:val="0"/>
          <w:color w:val="auto"/>
          <w:kern w:val="2"/>
          <w:sz w:val="32"/>
          <w:szCs w:val="32"/>
          <w:highlight w:val="none"/>
          <w:lang w:val="en-US" w:eastAsia="zh-CN" w:bidi="ar-SA"/>
        </w:rPr>
        <w:t>详见附表6，青铜峡市殡葬设施近期（2023-2027年）用地分期建设规划表。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1.西山公墓。</w:t>
      </w:r>
      <w:r>
        <w:rPr>
          <w:rFonts w:hint="eastAsia" w:ascii="方正仿宋_GBK" w:hAnsi="方正仿宋_GBK" w:eastAsia="方正仿宋_GBK" w:cs="方正仿宋_GBK"/>
          <w:color w:val="auto"/>
          <w:kern w:val="2"/>
          <w:sz w:val="32"/>
          <w:szCs w:val="32"/>
          <w:highlight w:val="none"/>
          <w:lang w:val="en-US" w:eastAsia="zh-CN" w:bidi="ar-SA"/>
        </w:rPr>
        <w:t>一是汉民经营性墓区，年用地量为27.8亩，5年殡葬用地139亩，其中经营性墓位用地60亩，土地由公墓公司挂牌取得，分别是月牙湖B区、C区各10亩，月牙湖D区29亩，凤陵B区的11亩。公益性墓位79亩，分别是月牙湖B区16亩、C区18亩，凤陵B区的45亩，土地由政府划拨，土地属性由牧草地变更为殡葬用地，变更费用由公墓公司承担。将迁坟安置区水泥路以南563亩土地，作为50年预留殡葬用地予以保留。二是回民公益性墓区年用地量为3.2亩，5年殡葬用地16亩，位于公墓东南方向，土地由政府划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仿宋_GBK" w:hAnsi="方正仿宋_GBK" w:eastAsia="方正仿宋_GBK" w:cs="方正仿宋_GBK"/>
          <w:color w:val="FF0000"/>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2.牛首山公墓。</w:t>
      </w:r>
      <w:r>
        <w:rPr>
          <w:rFonts w:hint="eastAsia" w:ascii="方正仿宋_GBK" w:hAnsi="方正仿宋_GBK" w:eastAsia="方正仿宋_GBK" w:cs="方正仿宋_GBK"/>
          <w:color w:val="auto"/>
          <w:kern w:val="2"/>
          <w:sz w:val="32"/>
          <w:szCs w:val="32"/>
          <w:highlight w:val="none"/>
          <w:lang w:val="en-US" w:eastAsia="zh-CN" w:bidi="ar-SA"/>
        </w:rPr>
        <w:t>一是汉民经营性墓区，年用地量为20.6亩，5年殡葬用地107亩，其中经营性墓位用地54亩，位于永和陵北侧区域，土地由公墓公司挂牌取得。公益性墓位用地53亩，位于永康陵东侧，土地由政府划拨，土地属性由牧草地变更为殡葬用地，变更费用由公墓公司承担。二是公益性墓区，其中：汉民公益性墓区年用地量为5.6亩，5年殡葬用地28亩，位于公墓北侧7亩，南侧21亩，土地由政府划拨；回民公益性墓区年用地量为9亩，5年殡葬用地45亩，位于公墓东南方向，土地由政府划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b/>
          <w:bCs/>
          <w:color w:val="FF0000"/>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3.铝厂公墓。</w:t>
      </w:r>
      <w:r>
        <w:rPr>
          <w:rFonts w:hint="eastAsia" w:ascii="方正仿宋_GBK" w:hAnsi="方正仿宋_GBK" w:eastAsia="方正仿宋_GBK" w:cs="方正仿宋_GBK"/>
          <w:color w:val="auto"/>
          <w:kern w:val="2"/>
          <w:sz w:val="32"/>
          <w:szCs w:val="32"/>
          <w:highlight w:val="none"/>
          <w:lang w:val="en-US" w:eastAsia="zh-CN" w:bidi="ar-SA"/>
        </w:rPr>
        <w:t>墓区年用地量为6.4亩，5年殡葬用地32亩，位于公墓东南方向，土地由政府划拨。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4.臭泉沟回民公墓。</w:t>
      </w:r>
      <w:r>
        <w:rPr>
          <w:rFonts w:hint="eastAsia" w:ascii="方正仿宋_GBK" w:hAnsi="方正仿宋_GBK" w:eastAsia="方正仿宋_GBK" w:cs="方正仿宋_GBK"/>
          <w:color w:val="auto"/>
          <w:kern w:val="2"/>
          <w:sz w:val="32"/>
          <w:szCs w:val="32"/>
          <w:highlight w:val="none"/>
          <w:lang w:val="en-US" w:eastAsia="zh-CN" w:bidi="ar-SA"/>
        </w:rPr>
        <w:t>不再安葬遗体，由青铜峡镇管理，逐步取消。</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（二）远期（2028-2035）。</w:t>
      </w:r>
      <w:r>
        <w:rPr>
          <w:rFonts w:hint="eastAsia" w:ascii="方正仿宋_GBK" w:hAnsi="方正仿宋_GBK" w:eastAsia="方正仿宋_GBK" w:cs="方正仿宋_GBK"/>
          <w:color w:val="auto"/>
          <w:kern w:val="2"/>
          <w:sz w:val="32"/>
          <w:szCs w:val="32"/>
          <w:highlight w:val="none"/>
          <w:lang w:val="en-US" w:eastAsia="zh-CN" w:bidi="ar-SA"/>
        </w:rPr>
        <w:t>详见附表6，远期（2028-2035年）用地分期建设规划表。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1.西山公墓。</w:t>
      </w:r>
      <w:r>
        <w:rPr>
          <w:rFonts w:hint="eastAsia" w:ascii="方正仿宋_GBK" w:hAnsi="方正仿宋_GBK" w:eastAsia="方正仿宋_GBK" w:cs="方正仿宋_GBK"/>
          <w:color w:val="auto"/>
          <w:kern w:val="2"/>
          <w:sz w:val="32"/>
          <w:szCs w:val="32"/>
          <w:highlight w:val="none"/>
          <w:lang w:val="en-US" w:eastAsia="zh-CN" w:bidi="ar-SA"/>
        </w:rPr>
        <w:t>一是汉民经营性墓区年用地量约为28亩，远期殡葬用地共需260亩。规划用地分别位于青陵D区、凤陵西区，经营性墓区</w:t>
      </w:r>
      <w:r>
        <w:rPr>
          <w:rFonts w:hint="eastAsia" w:ascii="方正仿宋_GBK" w:hAnsi="方正仿宋_GBK" w:eastAsia="方正仿宋_GBK" w:cs="方正仿宋_GBK"/>
          <w:color w:val="auto"/>
          <w:sz w:val="32"/>
          <w:szCs w:val="32"/>
          <w:highlight w:val="none"/>
          <w:lang w:val="en-US" w:eastAsia="zh-CN"/>
        </w:rPr>
        <w:t>进行挂牌，公益性墓区由政府划拨。二是回民公益性墓区</w:t>
      </w:r>
      <w:r>
        <w:rPr>
          <w:rFonts w:hint="eastAsia" w:ascii="方正仿宋_GBK" w:hAnsi="方正仿宋_GBK" w:eastAsia="方正仿宋_GBK" w:cs="方正仿宋_GBK"/>
          <w:color w:val="auto"/>
          <w:kern w:val="2"/>
          <w:sz w:val="32"/>
          <w:szCs w:val="32"/>
          <w:highlight w:val="none"/>
          <w:lang w:val="en-US" w:eastAsia="zh-CN" w:bidi="ar-SA"/>
        </w:rPr>
        <w:t>每年用地量为5亩，远期殡葬用地共需43亩。</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default"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2.牛首山公墓。</w:t>
      </w:r>
      <w:r>
        <w:rPr>
          <w:rFonts w:hint="eastAsia" w:ascii="方正仿宋_GBK" w:hAnsi="方正仿宋_GBK" w:eastAsia="方正仿宋_GBK" w:cs="方正仿宋_GBK"/>
          <w:color w:val="auto"/>
          <w:kern w:val="2"/>
          <w:sz w:val="30"/>
          <w:szCs w:val="30"/>
          <w:highlight w:val="none"/>
          <w:lang w:val="en-US" w:eastAsia="zh-CN" w:bidi="ar-SA"/>
        </w:rPr>
        <w:t>一是汉民经营性墓区年用地量为20亩，</w:t>
      </w:r>
      <w:r>
        <w:rPr>
          <w:rFonts w:hint="eastAsia" w:ascii="方正仿宋_GBK" w:hAnsi="方正仿宋_GBK" w:eastAsia="方正仿宋_GBK" w:cs="方正仿宋_GBK"/>
          <w:color w:val="auto"/>
          <w:kern w:val="2"/>
          <w:sz w:val="32"/>
          <w:szCs w:val="32"/>
          <w:highlight w:val="none"/>
          <w:lang w:val="en-US" w:eastAsia="zh-CN" w:bidi="ar-SA"/>
        </w:rPr>
        <w:t>远期殡葬用地共需113亩。规划用地分别位于永和陵、永泰陵西区，月牙湖区北区等。规划用地分别位于青陵D区、凤陵西区，经营性墓区</w:t>
      </w:r>
      <w:r>
        <w:rPr>
          <w:rFonts w:hint="eastAsia" w:ascii="方正仿宋_GBK" w:hAnsi="方正仿宋_GBK" w:eastAsia="方正仿宋_GBK" w:cs="方正仿宋_GBK"/>
          <w:color w:val="auto"/>
          <w:sz w:val="32"/>
          <w:szCs w:val="32"/>
          <w:highlight w:val="none"/>
          <w:lang w:val="en-US" w:eastAsia="zh-CN"/>
        </w:rPr>
        <w:t>进行挂牌，公益性墓区由政府划拨。二是汉民公益性墓区</w:t>
      </w:r>
      <w:r>
        <w:rPr>
          <w:rFonts w:hint="eastAsia" w:ascii="方正仿宋_GBK" w:hAnsi="方正仿宋_GBK" w:eastAsia="方正仿宋_GBK" w:cs="方正仿宋_GBK"/>
          <w:color w:val="auto"/>
          <w:kern w:val="2"/>
          <w:sz w:val="32"/>
          <w:szCs w:val="32"/>
          <w:highlight w:val="none"/>
          <w:lang w:val="en-US" w:eastAsia="zh-CN" w:bidi="ar-SA"/>
        </w:rPr>
        <w:t>年用地量为5亩，远期殡葬用地共需30亩；回民公益性墓区年用地量为20亩，远期殡葬用地共需112亩。</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3.铝厂公墓。</w:t>
      </w:r>
      <w:r>
        <w:rPr>
          <w:rFonts w:hint="eastAsia" w:ascii="方正仿宋_GBK" w:hAnsi="方正仿宋_GBK" w:eastAsia="方正仿宋_GBK" w:cs="方正仿宋_GBK"/>
          <w:color w:val="auto"/>
          <w:kern w:val="2"/>
          <w:sz w:val="32"/>
          <w:szCs w:val="32"/>
          <w:highlight w:val="none"/>
          <w:lang w:val="en-US" w:eastAsia="zh-CN" w:bidi="ar-SA"/>
        </w:rPr>
        <w:t>墓区年用地量为6亩，远期殡葬用地共需25亩。</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（三）远景（2036-2072）。</w:t>
      </w:r>
      <w:r>
        <w:rPr>
          <w:rFonts w:hint="eastAsia" w:ascii="方正仿宋_GBK" w:hAnsi="方正仿宋_GBK" w:eastAsia="方正仿宋_GBK" w:cs="方正仿宋_GBK"/>
          <w:b w:val="0"/>
          <w:bCs w:val="0"/>
          <w:color w:val="auto"/>
          <w:kern w:val="2"/>
          <w:sz w:val="32"/>
          <w:szCs w:val="32"/>
          <w:highlight w:val="none"/>
          <w:lang w:val="en-US" w:eastAsia="zh-CN" w:bidi="ar-SA"/>
        </w:rPr>
        <w:t>详见附表6，</w:t>
      </w:r>
      <w:r>
        <w:rPr>
          <w:rFonts w:hint="eastAsia" w:ascii="方正仿宋_GBK" w:hAnsi="方正仿宋_GBK" w:eastAsia="方正仿宋_GBK" w:cs="方正仿宋_GBK"/>
          <w:color w:val="auto"/>
          <w:kern w:val="2"/>
          <w:sz w:val="32"/>
          <w:szCs w:val="32"/>
          <w:highlight w:val="none"/>
          <w:lang w:val="en-US" w:eastAsia="zh-CN" w:bidi="ar-SA"/>
        </w:rPr>
        <w:t>远景（2036-2072年）用地分期建设规划表。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1.西山公墓。一是</w:t>
      </w:r>
      <w:r>
        <w:rPr>
          <w:rFonts w:hint="eastAsia" w:ascii="方正仿宋_GBK" w:hAnsi="方正仿宋_GBK" w:eastAsia="方正仿宋_GBK" w:cs="方正仿宋_GBK"/>
          <w:color w:val="auto"/>
          <w:kern w:val="2"/>
          <w:sz w:val="32"/>
          <w:szCs w:val="32"/>
          <w:highlight w:val="none"/>
          <w:lang w:val="en-US" w:eastAsia="zh-CN" w:bidi="ar-SA"/>
        </w:rPr>
        <w:t>经营性墓区远期规划，需殡葬用地747亩；远景规划，需殡葬用地1146亩。</w:t>
      </w:r>
      <w:r>
        <w:rPr>
          <w:rFonts w:hint="eastAsia" w:ascii="方正仿宋_GBK" w:hAnsi="方正仿宋_GBK" w:eastAsia="方正仿宋_GBK" w:cs="方正仿宋_GBK"/>
          <w:b/>
          <w:bCs/>
          <w:color w:val="auto"/>
          <w:kern w:val="2"/>
          <w:sz w:val="32"/>
          <w:szCs w:val="32"/>
          <w:highlight w:val="none"/>
          <w:lang w:val="en-US" w:eastAsia="zh-CN" w:bidi="ar-SA"/>
        </w:rPr>
        <w:t>二是</w:t>
      </w:r>
      <w:r>
        <w:rPr>
          <w:rFonts w:hint="eastAsia" w:ascii="方正仿宋_GBK" w:hAnsi="方正仿宋_GBK" w:eastAsia="方正仿宋_GBK" w:cs="方正仿宋_GBK"/>
          <w:color w:val="auto"/>
          <w:kern w:val="2"/>
          <w:sz w:val="32"/>
          <w:szCs w:val="32"/>
          <w:highlight w:val="none"/>
          <w:lang w:val="en-US" w:eastAsia="zh-CN" w:bidi="ar-SA"/>
        </w:rPr>
        <w:t>回民公益性墓区远期规划需殡葬用地211亩；远景规划，需殡葬用地270亩。</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2.牛首山公墓。一是</w:t>
      </w:r>
      <w:r>
        <w:rPr>
          <w:rFonts w:hint="eastAsia" w:ascii="方正仿宋_GBK" w:hAnsi="方正仿宋_GBK" w:eastAsia="方正仿宋_GBK" w:cs="方正仿宋_GBK"/>
          <w:color w:val="auto"/>
          <w:kern w:val="2"/>
          <w:sz w:val="32"/>
          <w:szCs w:val="32"/>
          <w:highlight w:val="none"/>
          <w:lang w:val="en-US" w:eastAsia="zh-CN" w:bidi="ar-SA"/>
        </w:rPr>
        <w:t>经营性墓区远期规划，需殡葬用地201亩；远景规划，需殡葬用地421亩。</w:t>
      </w:r>
      <w:r>
        <w:rPr>
          <w:rFonts w:hint="eastAsia" w:ascii="方正仿宋_GBK" w:hAnsi="方正仿宋_GBK" w:eastAsia="方正仿宋_GBK" w:cs="方正仿宋_GBK"/>
          <w:b/>
          <w:bCs/>
          <w:color w:val="auto"/>
          <w:kern w:val="2"/>
          <w:sz w:val="32"/>
          <w:szCs w:val="32"/>
          <w:highlight w:val="none"/>
          <w:lang w:val="en-US" w:eastAsia="zh-CN" w:bidi="ar-SA"/>
        </w:rPr>
        <w:t>二是</w:t>
      </w:r>
      <w:r>
        <w:rPr>
          <w:rFonts w:hint="eastAsia" w:ascii="方正仿宋_GBK" w:hAnsi="方正仿宋_GBK" w:eastAsia="方正仿宋_GBK" w:cs="方正仿宋_GBK"/>
          <w:color w:val="auto"/>
          <w:kern w:val="2"/>
          <w:sz w:val="32"/>
          <w:szCs w:val="32"/>
          <w:highlight w:val="none"/>
          <w:lang w:val="en-US" w:eastAsia="zh-CN" w:bidi="ar-SA"/>
        </w:rPr>
        <w:t>公益性墓区，其中：汉族公益性墓区远期规划，需殡葬用地78亩。远景规划，需殡葬用地136亩；回族公益性墓区远期规划，需殡葬用地207亩；远景规划，需殡葬用地364亩。</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3.铝厂公墓。</w:t>
      </w:r>
      <w:r>
        <w:rPr>
          <w:rFonts w:hint="eastAsia" w:ascii="方正仿宋_GBK" w:hAnsi="方正仿宋_GBK" w:eastAsia="方正仿宋_GBK" w:cs="方正仿宋_GBK"/>
          <w:color w:val="auto"/>
          <w:kern w:val="2"/>
          <w:sz w:val="32"/>
          <w:szCs w:val="32"/>
          <w:highlight w:val="none"/>
          <w:lang w:val="en-US" w:eastAsia="zh-CN" w:bidi="ar-SA"/>
        </w:rPr>
        <w:t>远期规划，需殡葬用地94亩；远景规划，需殡葬用地151亩。</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4.殡仪馆的预测及分析。</w:t>
      </w:r>
      <w:r>
        <w:rPr>
          <w:rFonts w:hint="eastAsia" w:ascii="方正仿宋_GBK" w:hAnsi="方正仿宋_GBK" w:eastAsia="方正仿宋_GBK" w:cs="方正仿宋_GBK"/>
          <w:color w:val="auto"/>
          <w:kern w:val="2"/>
          <w:sz w:val="32"/>
          <w:szCs w:val="32"/>
          <w:highlight w:val="none"/>
          <w:lang w:val="en-US" w:eastAsia="zh-CN" w:bidi="ar-SA"/>
        </w:rPr>
        <w:t>按照民政部各省（自治区）地级市均要建设火葬设施要求，规划在青铜峡市内建设吴忠市火葬场，引导群众移风易俗，改革土葬，逐步有序推进火葬。</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ascii="方正楷体_GBK" w:hAnsi="方正楷体_GBK" w:eastAsia="方正楷体_GBK" w:cs="方正楷体_GBK"/>
          <w:b/>
          <w:bCs/>
          <w:color w:val="auto"/>
          <w:kern w:val="2"/>
          <w:sz w:val="32"/>
          <w:szCs w:val="32"/>
          <w:highlight w:val="none"/>
          <w:lang w:val="en-US" w:eastAsia="zh-CN" w:bidi="ar-SA"/>
        </w:rPr>
        <w:t>5.殡仪服务站/服务中心的预测及分析。</w:t>
      </w:r>
      <w:r>
        <w:rPr>
          <w:rFonts w:hint="eastAsia" w:ascii="方正仿宋_GBK" w:hAnsi="方正仿宋_GBK" w:eastAsia="方正仿宋_GBK" w:cs="方正仿宋_GBK"/>
          <w:color w:val="auto"/>
          <w:kern w:val="2"/>
          <w:sz w:val="32"/>
          <w:szCs w:val="32"/>
          <w:highlight w:val="none"/>
          <w:lang w:val="en-US" w:eastAsia="zh-CN" w:bidi="ar-SA"/>
        </w:rPr>
        <w:t>为方便群众文明祭祀，规划在牛首山公墓内建设1座殡仪服务站。</w:t>
      </w:r>
    </w:p>
    <w:p>
      <w:pPr>
        <w:pStyle w:val="3"/>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表6 青铜峡市各公墓及殡葬设施近期（2023-2027年）、远期（2028-2035年）、远景（2036-2072）用地分期建设规划表</w:t>
      </w:r>
    </w:p>
    <w:tbl>
      <w:tblPr>
        <w:tblStyle w:val="10"/>
        <w:tblW w:w="146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05"/>
        <w:gridCol w:w="1191"/>
        <w:gridCol w:w="829"/>
        <w:gridCol w:w="904"/>
        <w:gridCol w:w="857"/>
        <w:gridCol w:w="962"/>
        <w:gridCol w:w="917"/>
        <w:gridCol w:w="1008"/>
        <w:gridCol w:w="752"/>
        <w:gridCol w:w="952"/>
        <w:gridCol w:w="1086"/>
        <w:gridCol w:w="1180"/>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 w:hRule="atLeast"/>
          <w:jc w:val="center"/>
        </w:trPr>
        <w:tc>
          <w:tcPr>
            <w:tcW w:w="566"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序号</w:t>
            </w:r>
          </w:p>
        </w:tc>
        <w:tc>
          <w:tcPr>
            <w:tcW w:w="1996" w:type="dxa"/>
            <w:gridSpan w:val="2"/>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名称</w:t>
            </w:r>
          </w:p>
        </w:tc>
        <w:tc>
          <w:tcPr>
            <w:tcW w:w="829"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属性</w:t>
            </w:r>
          </w:p>
        </w:tc>
        <w:tc>
          <w:tcPr>
            <w:tcW w:w="904"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总占地面积（亩）</w:t>
            </w:r>
          </w:p>
        </w:tc>
        <w:tc>
          <w:tcPr>
            <w:tcW w:w="857"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规划占地面积（亩）</w:t>
            </w:r>
          </w:p>
        </w:tc>
        <w:tc>
          <w:tcPr>
            <w:tcW w:w="962"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现状已利用面积（亩）</w:t>
            </w:r>
          </w:p>
        </w:tc>
        <w:tc>
          <w:tcPr>
            <w:tcW w:w="917"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现状不可利用面积（亩）</w:t>
            </w:r>
          </w:p>
        </w:tc>
        <w:tc>
          <w:tcPr>
            <w:tcW w:w="1008"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现状剩余可利用面积（亩）</w:t>
            </w:r>
          </w:p>
        </w:tc>
        <w:tc>
          <w:tcPr>
            <w:tcW w:w="1704" w:type="dxa"/>
            <w:gridSpan w:val="2"/>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近期2023-2027年累计5年用地面积（亩）</w:t>
            </w:r>
          </w:p>
        </w:tc>
        <w:tc>
          <w:tcPr>
            <w:tcW w:w="1086"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远期2028-2035年累计8年用地面积（亩）</w:t>
            </w:r>
          </w:p>
        </w:tc>
        <w:tc>
          <w:tcPr>
            <w:tcW w:w="1180"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远景规划累计50年殡葬用地面积（亩）</w:t>
            </w:r>
          </w:p>
        </w:tc>
        <w:tc>
          <w:tcPr>
            <w:tcW w:w="2593" w:type="dxa"/>
            <w:vMerge w:val="restart"/>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jc w:val="center"/>
        </w:trPr>
        <w:tc>
          <w:tcPr>
            <w:tcW w:w="566"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1996" w:type="dxa"/>
            <w:gridSpan w:val="2"/>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829"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904"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857"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962"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917"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1008"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752"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公益性</w:t>
            </w:r>
          </w:p>
        </w:tc>
        <w:tc>
          <w:tcPr>
            <w:tcW w:w="952"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经营性</w:t>
            </w:r>
          </w:p>
        </w:tc>
        <w:tc>
          <w:tcPr>
            <w:tcW w:w="1086" w:type="dxa"/>
            <w:vMerge w:val="continue"/>
          </w:tcPr>
          <w:p>
            <w:pPr>
              <w:spacing w:line="360" w:lineRule="auto"/>
              <w:jc w:val="center"/>
              <w:rPr>
                <w:rFonts w:hint="eastAsia" w:ascii="仿宋_GB2312" w:hAnsi="仿宋_GB2312" w:eastAsia="仿宋_GB2312" w:cs="仿宋_GB2312"/>
                <w:b/>
                <w:bCs/>
                <w:color w:val="auto"/>
                <w:kern w:val="0"/>
                <w:sz w:val="24"/>
                <w:szCs w:val="24"/>
                <w:highlight w:val="none"/>
                <w:lang w:val="en-US" w:eastAsia="zh-CN" w:bidi="ar-SA"/>
              </w:rPr>
            </w:pPr>
          </w:p>
        </w:tc>
        <w:tc>
          <w:tcPr>
            <w:tcW w:w="1180"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c>
          <w:tcPr>
            <w:tcW w:w="2593" w:type="dxa"/>
            <w:vMerge w:val="continue"/>
          </w:tcPr>
          <w:p>
            <w:pPr>
              <w:pStyle w:val="2"/>
              <w:rPr>
                <w:rFonts w:hint="eastAsia" w:ascii="方正小标宋_GBK" w:hAnsi="方正小标宋_GBK" w:eastAsia="方正小标宋_GBK" w:cs="方正小标宋_GBK"/>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w:t>
            </w:r>
          </w:p>
        </w:tc>
        <w:tc>
          <w:tcPr>
            <w:tcW w:w="199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牛首山殡仪服务中心</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规划</w:t>
            </w:r>
          </w:p>
        </w:tc>
        <w:tc>
          <w:tcPr>
            <w:tcW w:w="904"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857"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9</w:t>
            </w:r>
          </w:p>
        </w:tc>
        <w:tc>
          <w:tcPr>
            <w:tcW w:w="962" w:type="dxa"/>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917"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08"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752"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52"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86"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80"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2593" w:type="dxa"/>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规划位于牛首山公墓汉民经营性墓区内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2</w:t>
            </w:r>
          </w:p>
        </w:tc>
        <w:tc>
          <w:tcPr>
            <w:tcW w:w="199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火葬殡仪馆</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规划</w:t>
            </w:r>
          </w:p>
        </w:tc>
        <w:tc>
          <w:tcPr>
            <w:tcW w:w="904"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85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30</w:t>
            </w:r>
          </w:p>
        </w:tc>
        <w:tc>
          <w:tcPr>
            <w:tcW w:w="962"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17"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08"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752"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52"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86"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80"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2593" w:type="dxa"/>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规划位于铝厂公墓内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w:t>
            </w:r>
          </w:p>
        </w:tc>
        <w:tc>
          <w:tcPr>
            <w:tcW w:w="199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青铜峡市殡仪馆</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现状</w:t>
            </w:r>
          </w:p>
        </w:tc>
        <w:tc>
          <w:tcPr>
            <w:tcW w:w="904"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5</w:t>
            </w:r>
          </w:p>
        </w:tc>
        <w:tc>
          <w:tcPr>
            <w:tcW w:w="857"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62"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17"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08"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752"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52"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86"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80"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2593" w:type="dxa"/>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w:t>
            </w:r>
          </w:p>
        </w:tc>
        <w:tc>
          <w:tcPr>
            <w:tcW w:w="805" w:type="dxa"/>
            <w:vMerge w:val="restart"/>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西山公墓</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汉民经营性墓区</w:t>
            </w:r>
          </w:p>
        </w:tc>
        <w:tc>
          <w:tcPr>
            <w:tcW w:w="82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规划原址扩建</w:t>
            </w:r>
          </w:p>
        </w:tc>
        <w:tc>
          <w:tcPr>
            <w:tcW w:w="904"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1500</w:t>
            </w:r>
          </w:p>
        </w:tc>
        <w:tc>
          <w:tcPr>
            <w:tcW w:w="85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700</w:t>
            </w:r>
          </w:p>
        </w:tc>
        <w:tc>
          <w:tcPr>
            <w:tcW w:w="96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1007</w:t>
            </w:r>
          </w:p>
        </w:tc>
        <w:tc>
          <w:tcPr>
            <w:tcW w:w="91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48</w:t>
            </w:r>
          </w:p>
        </w:tc>
        <w:tc>
          <w:tcPr>
            <w:tcW w:w="1008"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445</w:t>
            </w:r>
          </w:p>
        </w:tc>
        <w:tc>
          <w:tcPr>
            <w:tcW w:w="752" w:type="dxa"/>
            <w:vMerge w:val="restart"/>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79</w:t>
            </w:r>
          </w:p>
        </w:tc>
        <w:tc>
          <w:tcPr>
            <w:tcW w:w="952" w:type="dxa"/>
            <w:vMerge w:val="restart"/>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60</w:t>
            </w:r>
          </w:p>
        </w:tc>
        <w:tc>
          <w:tcPr>
            <w:tcW w:w="1086" w:type="dxa"/>
            <w:vMerge w:val="restart"/>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198</w:t>
            </w:r>
          </w:p>
        </w:tc>
        <w:tc>
          <w:tcPr>
            <w:tcW w:w="1180" w:type="dxa"/>
            <w:vMerge w:val="restart"/>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1146</w:t>
            </w:r>
          </w:p>
        </w:tc>
        <w:tc>
          <w:tcPr>
            <w:tcW w:w="259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青铜峡市80%的汉族群众，另因甘城子至广武30万亩葡萄种植长廊建设项目，约2000座坟要迁进西山公墓，用地63亩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7" w:hRule="exac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6</w:t>
            </w:r>
          </w:p>
        </w:tc>
        <w:tc>
          <w:tcPr>
            <w:tcW w:w="805"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汉民经营性墓区50年预留用地</w:t>
            </w:r>
          </w:p>
        </w:tc>
        <w:tc>
          <w:tcPr>
            <w:tcW w:w="82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规划预留用地</w:t>
            </w:r>
          </w:p>
        </w:tc>
        <w:tc>
          <w:tcPr>
            <w:tcW w:w="904"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959</w:t>
            </w:r>
          </w:p>
        </w:tc>
        <w:tc>
          <w:tcPr>
            <w:tcW w:w="85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96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409</w:t>
            </w:r>
          </w:p>
        </w:tc>
        <w:tc>
          <w:tcPr>
            <w:tcW w:w="91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1008"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498</w:t>
            </w:r>
          </w:p>
        </w:tc>
        <w:tc>
          <w:tcPr>
            <w:tcW w:w="752"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52"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86"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80"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2593" w:type="dxa"/>
            <w:vMerge w:val="continue"/>
            <w:vAlign w:val="top"/>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566"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7</w:t>
            </w:r>
          </w:p>
        </w:tc>
        <w:tc>
          <w:tcPr>
            <w:tcW w:w="805"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回民公益性墓区</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现状</w:t>
            </w:r>
          </w:p>
        </w:tc>
        <w:tc>
          <w:tcPr>
            <w:tcW w:w="904"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276</w:t>
            </w:r>
          </w:p>
        </w:tc>
        <w:tc>
          <w:tcPr>
            <w:tcW w:w="85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96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56</w:t>
            </w:r>
          </w:p>
        </w:tc>
        <w:tc>
          <w:tcPr>
            <w:tcW w:w="917"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default" w:ascii="方正仿宋_GBK" w:hAnsi="方正仿宋_GBK" w:eastAsia="方正仿宋_GBK" w:cs="方正仿宋_GBK"/>
                <w:i w:val="0"/>
                <w:iCs w:val="0"/>
                <w:color w:val="000000"/>
                <w:sz w:val="24"/>
                <w:szCs w:val="24"/>
                <w:highlight w:val="none"/>
                <w:u w:val="none"/>
                <w:lang w:val="en-US" w:eastAsia="zh-CN"/>
              </w:rPr>
              <w:t>27</w:t>
            </w:r>
          </w:p>
        </w:tc>
        <w:tc>
          <w:tcPr>
            <w:tcW w:w="1008"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193</w:t>
            </w:r>
          </w:p>
        </w:tc>
        <w:tc>
          <w:tcPr>
            <w:tcW w:w="75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16</w:t>
            </w:r>
          </w:p>
        </w:tc>
        <w:tc>
          <w:tcPr>
            <w:tcW w:w="95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43</w:t>
            </w:r>
          </w:p>
        </w:tc>
        <w:tc>
          <w:tcPr>
            <w:tcW w:w="1180"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270</w:t>
            </w:r>
          </w:p>
        </w:tc>
        <w:tc>
          <w:tcPr>
            <w:tcW w:w="2593" w:type="dxa"/>
            <w:vAlign w:val="top"/>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青铜峡市50%的回族群众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8</w:t>
            </w:r>
          </w:p>
        </w:tc>
        <w:tc>
          <w:tcPr>
            <w:tcW w:w="805" w:type="dxa"/>
            <w:vMerge w:val="restart"/>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牛首山公墓</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汉民经营性墓区</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现状</w:t>
            </w:r>
          </w:p>
        </w:tc>
        <w:tc>
          <w:tcPr>
            <w:tcW w:w="904"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1000</w:t>
            </w:r>
          </w:p>
        </w:tc>
        <w:tc>
          <w:tcPr>
            <w:tcW w:w="85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96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309</w:t>
            </w:r>
          </w:p>
        </w:tc>
        <w:tc>
          <w:tcPr>
            <w:tcW w:w="917"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08"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691</w:t>
            </w:r>
          </w:p>
        </w:tc>
        <w:tc>
          <w:tcPr>
            <w:tcW w:w="75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53</w:t>
            </w:r>
          </w:p>
        </w:tc>
        <w:tc>
          <w:tcPr>
            <w:tcW w:w="95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54</w:t>
            </w:r>
          </w:p>
        </w:tc>
        <w:tc>
          <w:tcPr>
            <w:tcW w:w="108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113</w:t>
            </w:r>
          </w:p>
        </w:tc>
        <w:tc>
          <w:tcPr>
            <w:tcW w:w="1180"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421</w:t>
            </w:r>
          </w:p>
        </w:tc>
        <w:tc>
          <w:tcPr>
            <w:tcW w:w="259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服务于利通区28%的汉族群众及青铜峡市10%的汉族群众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2"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9</w:t>
            </w:r>
          </w:p>
        </w:tc>
        <w:tc>
          <w:tcPr>
            <w:tcW w:w="805"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汉民公益性墓区</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04"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959</w:t>
            </w:r>
          </w:p>
        </w:tc>
        <w:tc>
          <w:tcPr>
            <w:tcW w:w="85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96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628</w:t>
            </w:r>
          </w:p>
        </w:tc>
        <w:tc>
          <w:tcPr>
            <w:tcW w:w="917"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008"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331</w:t>
            </w:r>
          </w:p>
        </w:tc>
        <w:tc>
          <w:tcPr>
            <w:tcW w:w="75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28</w:t>
            </w:r>
          </w:p>
        </w:tc>
        <w:tc>
          <w:tcPr>
            <w:tcW w:w="95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108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30</w:t>
            </w:r>
          </w:p>
        </w:tc>
        <w:tc>
          <w:tcPr>
            <w:tcW w:w="1180"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136</w:t>
            </w:r>
          </w:p>
        </w:tc>
        <w:tc>
          <w:tcPr>
            <w:tcW w:w="2593" w:type="dxa"/>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服务于利通区20%的汉族群众，及吴忠市汉民公墓范围外约6000座坟迁进吴忠市汉民公墓范围内，用地188亩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3"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10</w:t>
            </w:r>
          </w:p>
        </w:tc>
        <w:tc>
          <w:tcPr>
            <w:tcW w:w="805" w:type="dxa"/>
            <w:vMerge w:val="continue"/>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回民公益性墓区</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现状</w:t>
            </w:r>
          </w:p>
        </w:tc>
        <w:tc>
          <w:tcPr>
            <w:tcW w:w="904"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628</w:t>
            </w:r>
          </w:p>
        </w:tc>
        <w:tc>
          <w:tcPr>
            <w:tcW w:w="857"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260</w:t>
            </w:r>
          </w:p>
        </w:tc>
        <w:tc>
          <w:tcPr>
            <w:tcW w:w="96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99</w:t>
            </w:r>
          </w:p>
        </w:tc>
        <w:tc>
          <w:tcPr>
            <w:tcW w:w="917"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47</w:t>
            </w:r>
          </w:p>
        </w:tc>
        <w:tc>
          <w:tcPr>
            <w:tcW w:w="1008"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482</w:t>
            </w:r>
          </w:p>
        </w:tc>
        <w:tc>
          <w:tcPr>
            <w:tcW w:w="75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45</w:t>
            </w:r>
          </w:p>
        </w:tc>
        <w:tc>
          <w:tcPr>
            <w:tcW w:w="95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1086"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112</w:t>
            </w:r>
          </w:p>
        </w:tc>
        <w:tc>
          <w:tcPr>
            <w:tcW w:w="1180"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364</w:t>
            </w:r>
          </w:p>
        </w:tc>
        <w:tc>
          <w:tcPr>
            <w:tcW w:w="259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服务于利通区20%的回族群众及青铜峡市50%的回族群众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56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11</w:t>
            </w:r>
          </w:p>
        </w:tc>
        <w:tc>
          <w:tcPr>
            <w:tcW w:w="1996" w:type="dxa"/>
            <w:gridSpan w:val="2"/>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铝厂公墓</w:t>
            </w:r>
          </w:p>
        </w:tc>
        <w:tc>
          <w:tcPr>
            <w:tcW w:w="829"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现状</w:t>
            </w:r>
          </w:p>
        </w:tc>
        <w:tc>
          <w:tcPr>
            <w:tcW w:w="904"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1693</w:t>
            </w:r>
          </w:p>
        </w:tc>
        <w:tc>
          <w:tcPr>
            <w:tcW w:w="857"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p>
        </w:tc>
        <w:tc>
          <w:tcPr>
            <w:tcW w:w="962"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436</w:t>
            </w:r>
          </w:p>
        </w:tc>
        <w:tc>
          <w:tcPr>
            <w:tcW w:w="917"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default" w:ascii="方正仿宋_GBK" w:hAnsi="方正仿宋_GBK" w:eastAsia="方正仿宋_GBK" w:cs="方正仿宋_GBK"/>
                <w:i w:val="0"/>
                <w:iCs w:val="0"/>
                <w:color w:val="000000"/>
                <w:sz w:val="24"/>
                <w:szCs w:val="24"/>
                <w:highlight w:val="none"/>
                <w:u w:val="none"/>
                <w:lang w:val="en-US" w:eastAsia="zh-CN"/>
              </w:rPr>
              <w:t>420</w:t>
            </w:r>
          </w:p>
        </w:tc>
        <w:tc>
          <w:tcPr>
            <w:tcW w:w="1008" w:type="dxa"/>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default" w:ascii="方正仿宋_GBK" w:hAnsi="方正仿宋_GBK" w:eastAsia="方正仿宋_GBK" w:cs="方正仿宋_GBK"/>
                <w:i w:val="0"/>
                <w:iCs w:val="0"/>
                <w:color w:val="000000"/>
                <w:sz w:val="24"/>
                <w:szCs w:val="24"/>
                <w:highlight w:val="none"/>
                <w:u w:val="none"/>
                <w:lang w:val="en-US" w:eastAsia="zh-CN"/>
              </w:rPr>
              <w:t>837</w:t>
            </w:r>
          </w:p>
        </w:tc>
        <w:tc>
          <w:tcPr>
            <w:tcW w:w="75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32</w:t>
            </w:r>
          </w:p>
        </w:tc>
        <w:tc>
          <w:tcPr>
            <w:tcW w:w="952"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p>
        </w:tc>
        <w:tc>
          <w:tcPr>
            <w:tcW w:w="1086"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25</w:t>
            </w:r>
          </w:p>
        </w:tc>
        <w:tc>
          <w:tcPr>
            <w:tcW w:w="1180" w:type="dxa"/>
            <w:vAlign w:val="center"/>
          </w:tcPr>
          <w:p>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151</w:t>
            </w:r>
          </w:p>
        </w:tc>
        <w:tc>
          <w:tcPr>
            <w:tcW w:w="2593"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服务于青铜峡市10%的汉族群众</w:t>
            </w:r>
          </w:p>
        </w:tc>
      </w:tr>
    </w:tbl>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bookmarkStart w:id="113" w:name="_Toc12137"/>
      <w:bookmarkStart w:id="114" w:name="_Toc25178"/>
      <w:bookmarkStart w:id="115" w:name="_Toc30924"/>
      <w:r>
        <w:rPr>
          <w:rFonts w:hint="eastAsia" w:ascii="方正小标宋_GBK" w:hAnsi="方正小标宋_GBK" w:eastAsia="方正小标宋_GBK" w:cs="方正小标宋_GBK"/>
          <w:snapToGrid/>
          <w:color w:val="000000"/>
          <w:kern w:val="2"/>
          <w:sz w:val="44"/>
          <w:szCs w:val="44"/>
          <w:lang w:val="en-US" w:eastAsia="zh-CN"/>
        </w:rPr>
        <w:t xml:space="preserve"> 殡葬用地规划布局</w:t>
      </w:r>
      <w:bookmarkEnd w:id="113"/>
      <w:bookmarkEnd w:id="114"/>
      <w:bookmarkEnd w:id="115"/>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right="0" w:rightChars="0"/>
        <w:jc w:val="both"/>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16" w:name="_Toc3552"/>
      <w:bookmarkStart w:id="117" w:name="_Toc26144"/>
      <w:bookmarkStart w:id="118" w:name="_Toc10490"/>
      <w:r>
        <w:rPr>
          <w:rFonts w:hint="eastAsia" w:ascii="方正黑体_GBK" w:hAnsi="方正黑体_GBK" w:eastAsia="方正黑体_GBK" w:cs="方正黑体_GBK"/>
          <w:snapToGrid/>
          <w:color w:val="000000"/>
          <w:kern w:val="2"/>
          <w:sz w:val="32"/>
          <w:szCs w:val="32"/>
          <w:lang w:val="en-US" w:eastAsia="zh-CN"/>
        </w:rPr>
        <w:t>一、选址原则及建设标准</w:t>
      </w:r>
      <w:bookmarkEnd w:id="116"/>
      <w:bookmarkEnd w:id="117"/>
      <w:bookmarkEnd w:id="118"/>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根据民政部、中央文明办、发改委等16部门《关于印发&lt;关于进一步推动殡葬改革促进殡葬事业发展的指导意见&gt;的通知》和自治区民政厅 国土资源厅《关于进一步推进殡葬改革设立殡葬规划用地意见的通知》（宁政办发﹝2015﹞104号）文件中的规定。选址原则和建设标准如下：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default" w:ascii="方正仿宋_GBK" w:hAnsi="方正仿宋_GBK" w:eastAsia="方正仿宋_GBK" w:cs="方正仿宋_GBK"/>
          <w:b/>
          <w:bCs/>
          <w:color w:val="auto"/>
          <w:kern w:val="2"/>
          <w:sz w:val="32"/>
          <w:szCs w:val="32"/>
          <w:lang w:val="en-US" w:eastAsia="zh-CN" w:bidi="ar-SA"/>
        </w:rPr>
        <w:t>选址原则</w:t>
      </w:r>
      <w:r>
        <w:rPr>
          <w:rFonts w:hint="eastAsia" w:ascii="方正仿宋_GBK" w:hAnsi="方正仿宋_GBK" w:eastAsia="方正仿宋_GBK" w:cs="方正仿宋_GBK"/>
          <w:b/>
          <w:bCs/>
          <w:color w:val="auto"/>
          <w:kern w:val="2"/>
          <w:sz w:val="32"/>
          <w:szCs w:val="32"/>
          <w:lang w:val="en-US" w:eastAsia="zh-CN" w:bidi="ar-SA"/>
        </w:rPr>
        <w:t>：</w:t>
      </w:r>
      <w:r>
        <w:rPr>
          <w:rFonts w:hint="default" w:ascii="方正仿宋_GBK" w:hAnsi="方正仿宋_GBK" w:eastAsia="方正仿宋_GBK" w:cs="方正仿宋_GBK"/>
          <w:color w:val="auto"/>
          <w:kern w:val="2"/>
          <w:sz w:val="32"/>
          <w:szCs w:val="32"/>
          <w:lang w:val="en-US" w:eastAsia="zh-CN" w:bidi="ar-SA"/>
        </w:rPr>
        <w:t>选址应当选择荒山瘠地，不得选定在耕地</w:t>
      </w:r>
      <w:r>
        <w:rPr>
          <w:rFonts w:hint="eastAsia" w:ascii="方正仿宋_GBK" w:hAnsi="方正仿宋_GBK" w:eastAsia="方正仿宋_GBK" w:cs="方正仿宋_GBK"/>
          <w:color w:val="auto"/>
          <w:kern w:val="2"/>
          <w:sz w:val="32"/>
          <w:szCs w:val="32"/>
          <w:lang w:val="en-US" w:eastAsia="zh-CN" w:bidi="ar-SA"/>
        </w:rPr>
        <w:t>、</w:t>
      </w:r>
      <w:r>
        <w:rPr>
          <w:rFonts w:hint="default" w:ascii="方正仿宋_GBK" w:hAnsi="方正仿宋_GBK" w:eastAsia="方正仿宋_GBK" w:cs="方正仿宋_GBK"/>
          <w:color w:val="auto"/>
          <w:kern w:val="2"/>
          <w:sz w:val="32"/>
          <w:szCs w:val="32"/>
          <w:lang w:val="en-US" w:eastAsia="zh-CN" w:bidi="ar-SA"/>
        </w:rPr>
        <w:t>水库、湖泊、河流、沟渠堤坝周边，不得选定在风景名胜区、文物保护区、水源保护区</w:t>
      </w:r>
      <w:r>
        <w:rPr>
          <w:rFonts w:hint="eastAsia" w:ascii="方正仿宋_GBK" w:hAnsi="方正仿宋_GBK" w:eastAsia="方正仿宋_GBK" w:cs="方正仿宋_GBK"/>
          <w:color w:val="auto"/>
          <w:kern w:val="2"/>
          <w:sz w:val="32"/>
          <w:szCs w:val="32"/>
          <w:lang w:val="en-US" w:eastAsia="zh-CN" w:bidi="ar-SA"/>
        </w:rPr>
        <w:t>1</w:t>
      </w:r>
      <w:r>
        <w:rPr>
          <w:rFonts w:hint="default" w:ascii="方正仿宋_GBK" w:hAnsi="方正仿宋_GBK" w:eastAsia="方正仿宋_GBK" w:cs="方正仿宋_GBK"/>
          <w:color w:val="auto"/>
          <w:kern w:val="2"/>
          <w:sz w:val="32"/>
          <w:szCs w:val="32"/>
          <w:lang w:val="en-US" w:eastAsia="zh-CN" w:bidi="ar-SA"/>
        </w:rPr>
        <w:t>000米以内和铁路、主干道路两侧</w:t>
      </w:r>
      <w:r>
        <w:rPr>
          <w:rFonts w:hint="eastAsia" w:ascii="方正仿宋_GBK" w:hAnsi="方正仿宋_GBK" w:eastAsia="方正仿宋_GBK" w:cs="方正仿宋_GBK"/>
          <w:color w:val="auto"/>
          <w:kern w:val="2"/>
          <w:sz w:val="32"/>
          <w:szCs w:val="32"/>
          <w:lang w:val="en-US" w:eastAsia="zh-CN" w:bidi="ar-SA"/>
        </w:rPr>
        <w:t>500</w:t>
      </w:r>
      <w:r>
        <w:rPr>
          <w:rFonts w:hint="default" w:ascii="方正仿宋_GBK" w:hAnsi="方正仿宋_GBK" w:eastAsia="方正仿宋_GBK" w:cs="方正仿宋_GBK"/>
          <w:color w:val="auto"/>
          <w:kern w:val="2"/>
          <w:sz w:val="32"/>
          <w:szCs w:val="32"/>
          <w:lang w:val="en-US" w:eastAsia="zh-CN" w:bidi="ar-SA"/>
        </w:rPr>
        <w:t>米以内，不得选定在耕地后备资源区。</w:t>
      </w:r>
      <w:r>
        <w:rPr>
          <w:rFonts w:hint="eastAsia" w:ascii="方正仿宋_GBK" w:hAnsi="方正仿宋_GBK" w:eastAsia="方正仿宋_GBK" w:cs="方正仿宋_GBK"/>
          <w:color w:val="auto"/>
          <w:kern w:val="2"/>
          <w:sz w:val="32"/>
          <w:szCs w:val="32"/>
          <w:lang w:val="en-US" w:eastAsia="zh-CN" w:bidi="ar-SA"/>
        </w:rPr>
        <w:t>选址主要有扩容、扩建、迁建、迁并、新建五种方式。</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w:t>
      </w:r>
      <w:r>
        <w:rPr>
          <w:rFonts w:hint="eastAsia" w:ascii="方正仿宋_GBK" w:hAnsi="方正仿宋_GBK" w:eastAsia="方正仿宋_GBK" w:cs="方正仿宋_GBK"/>
          <w:color w:val="auto"/>
          <w:kern w:val="2"/>
          <w:sz w:val="32"/>
          <w:szCs w:val="32"/>
          <w:lang w:val="en-US" w:eastAsia="zh-CN" w:bidi="ar-SA"/>
        </w:rPr>
        <w:t>扩容—有存量用地，且不影响其他建设的现状殡葬设施，在规划用地面积不扩大的前提下，可进行扩容，适当增加墓穴数量，规划用地用完时闭园。</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w:t>
      </w:r>
      <w:r>
        <w:rPr>
          <w:rFonts w:hint="eastAsia" w:ascii="方正仿宋_GBK" w:hAnsi="方正仿宋_GBK" w:eastAsia="方正仿宋_GBK" w:cs="方正仿宋_GBK"/>
          <w:color w:val="auto"/>
          <w:kern w:val="2"/>
          <w:sz w:val="32"/>
          <w:szCs w:val="32"/>
          <w:lang w:val="en-US" w:eastAsia="zh-CN" w:bidi="ar-SA"/>
        </w:rPr>
        <w:t>扩建—符合规划原则，具备扩建条件的殡葬设施允许扩建，增加公墓规划用地面积和墓穴数量。</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（三）</w:t>
      </w:r>
      <w:r>
        <w:rPr>
          <w:rFonts w:hint="eastAsia" w:ascii="方正仿宋_GBK" w:hAnsi="方正仿宋_GBK" w:eastAsia="方正仿宋_GBK" w:cs="方正仿宋_GBK"/>
          <w:color w:val="auto"/>
          <w:kern w:val="2"/>
          <w:sz w:val="32"/>
          <w:szCs w:val="32"/>
          <w:lang w:val="en-US" w:eastAsia="zh-CN" w:bidi="ar-SA"/>
        </w:rPr>
        <w:t>迁建—指为满足现状殡葬设施搬迁安置需要而新选址建设的公墓，迁建公墓要符合相关规划要求和殡葬改革的总体布局。</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（四）</w:t>
      </w:r>
      <w:r>
        <w:rPr>
          <w:rFonts w:hint="eastAsia" w:ascii="方正仿宋_GBK" w:hAnsi="方正仿宋_GBK" w:eastAsia="方正仿宋_GBK" w:cs="方正仿宋_GBK"/>
          <w:color w:val="auto"/>
          <w:kern w:val="2"/>
          <w:sz w:val="32"/>
          <w:szCs w:val="32"/>
          <w:lang w:val="en-US" w:eastAsia="zh-CN" w:bidi="ar-SA"/>
        </w:rPr>
        <w:t>迁并—指由于城市建设发展以及生态保护相互矛盾的殡葬设施，应搬迁合并到其他设施中。</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（五）</w:t>
      </w:r>
      <w:r>
        <w:rPr>
          <w:rFonts w:hint="eastAsia" w:ascii="方正仿宋_GBK" w:hAnsi="方正仿宋_GBK" w:eastAsia="方正仿宋_GBK" w:cs="方正仿宋_GBK"/>
          <w:color w:val="auto"/>
          <w:kern w:val="2"/>
          <w:sz w:val="32"/>
          <w:szCs w:val="32"/>
          <w:lang w:val="en-US" w:eastAsia="zh-CN" w:bidi="ar-SA"/>
        </w:rPr>
        <w:t>新建—指根据殡葬设施需求预测，需要新建的殡葬设施。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default" w:ascii="方正楷体_GBK" w:hAnsi="方正楷体_GBK" w:eastAsia="方正楷体_GBK" w:cs="方正楷体_GBK"/>
          <w:b/>
          <w:bCs/>
          <w:color w:val="auto"/>
          <w:kern w:val="2"/>
          <w:sz w:val="32"/>
          <w:szCs w:val="32"/>
          <w:lang w:val="en-US" w:eastAsia="zh-CN" w:bidi="ar-SA"/>
        </w:rPr>
        <w:t>建设标准</w:t>
      </w:r>
      <w:r>
        <w:rPr>
          <w:rFonts w:hint="eastAsia" w:ascii="方正楷体_GBK" w:hAnsi="方正楷体_GBK" w:eastAsia="方正楷体_GBK" w:cs="方正楷体_GBK"/>
          <w:b/>
          <w:bCs/>
          <w:color w:val="auto"/>
          <w:kern w:val="2"/>
          <w:sz w:val="32"/>
          <w:szCs w:val="32"/>
          <w:lang w:val="en-US" w:eastAsia="zh-CN" w:bidi="ar-SA"/>
        </w:rPr>
        <w:t>：</w:t>
      </w:r>
      <w:r>
        <w:rPr>
          <w:rFonts w:hint="default" w:ascii="方正仿宋_GBK" w:hAnsi="方正仿宋_GBK" w:eastAsia="方正仿宋_GBK" w:cs="方正仿宋_GBK"/>
          <w:color w:val="auto"/>
          <w:kern w:val="2"/>
          <w:sz w:val="32"/>
          <w:szCs w:val="32"/>
          <w:lang w:val="en-US" w:eastAsia="zh-CN" w:bidi="ar-SA"/>
        </w:rPr>
        <w:t>要将殡葬规划用地的建设与荒山荒坡绿化治理、散埋乱葬治理结合起来。</w:t>
      </w:r>
      <w:r>
        <w:rPr>
          <w:rFonts w:hint="default" w:ascii="方正仿宋_GBK" w:hAnsi="方正仿宋_GBK" w:eastAsia="方正仿宋_GBK" w:cs="方正仿宋_GBK"/>
          <w:b/>
          <w:bCs/>
          <w:color w:val="auto"/>
          <w:kern w:val="2"/>
          <w:sz w:val="32"/>
          <w:szCs w:val="32"/>
          <w:lang w:val="en-US" w:eastAsia="zh-CN" w:bidi="ar-SA"/>
        </w:rPr>
        <w:t>一是</w:t>
      </w:r>
      <w:r>
        <w:rPr>
          <w:rFonts w:hint="default" w:ascii="方正仿宋_GBK" w:hAnsi="方正仿宋_GBK" w:eastAsia="方正仿宋_GBK" w:cs="方正仿宋_GBK"/>
          <w:color w:val="auto"/>
          <w:kern w:val="2"/>
          <w:sz w:val="32"/>
          <w:szCs w:val="32"/>
          <w:lang w:val="en-US" w:eastAsia="zh-CN" w:bidi="ar-SA"/>
        </w:rPr>
        <w:t>保障50年的殡葬需求、明确20年的使用周期、坚持5年的开发建设期限。</w:t>
      </w:r>
      <w:r>
        <w:rPr>
          <w:rFonts w:hint="default" w:ascii="方正仿宋_GBK" w:hAnsi="方正仿宋_GBK" w:eastAsia="方正仿宋_GBK" w:cs="方正仿宋_GBK"/>
          <w:b/>
          <w:bCs/>
          <w:color w:val="auto"/>
          <w:kern w:val="2"/>
          <w:sz w:val="32"/>
          <w:szCs w:val="32"/>
          <w:lang w:val="en-US" w:eastAsia="zh-CN" w:bidi="ar-SA"/>
        </w:rPr>
        <w:t>二是</w:t>
      </w:r>
      <w:r>
        <w:rPr>
          <w:rFonts w:hint="default" w:ascii="方正仿宋_GBK" w:hAnsi="方正仿宋_GBK" w:eastAsia="方正仿宋_GBK" w:cs="方正仿宋_GBK"/>
          <w:color w:val="auto"/>
          <w:kern w:val="2"/>
          <w:sz w:val="32"/>
          <w:szCs w:val="32"/>
          <w:lang w:val="en-US" w:eastAsia="zh-CN" w:bidi="ar-SA"/>
        </w:rPr>
        <w:t>严格控制墓穴占地标准。</w:t>
      </w:r>
      <w:r>
        <w:rPr>
          <w:rFonts w:hint="eastAsia" w:ascii="方正仿宋_GBK" w:hAnsi="方正仿宋_GBK" w:eastAsia="方正仿宋_GBK" w:cs="方正仿宋_GBK"/>
          <w:color w:val="auto"/>
          <w:kern w:val="2"/>
          <w:sz w:val="32"/>
          <w:szCs w:val="32"/>
          <w:highlight w:val="none"/>
          <w:lang w:val="en-US" w:eastAsia="zh-CN" w:bidi="ar-SA"/>
        </w:rPr>
        <w:t>骨灰墓穴(含双人墓穴)占地面积不得超过2平方米；遗体墓(含双人墓)不得超过6平方米。</w:t>
      </w:r>
      <w:r>
        <w:rPr>
          <w:rFonts w:hint="default" w:ascii="方正仿宋_GBK" w:hAnsi="方正仿宋_GBK" w:eastAsia="方正仿宋_GBK" w:cs="方正仿宋_GBK"/>
          <w:b/>
          <w:bCs/>
          <w:color w:val="auto"/>
          <w:kern w:val="2"/>
          <w:sz w:val="32"/>
          <w:szCs w:val="32"/>
          <w:lang w:val="en-US" w:eastAsia="zh-CN" w:bidi="ar-SA"/>
        </w:rPr>
        <w:t>三是</w:t>
      </w:r>
      <w:r>
        <w:rPr>
          <w:rFonts w:hint="default" w:ascii="方正仿宋_GBK" w:hAnsi="方正仿宋_GBK" w:eastAsia="方正仿宋_GBK" w:cs="方正仿宋_GBK"/>
          <w:color w:val="auto"/>
          <w:kern w:val="2"/>
          <w:sz w:val="32"/>
          <w:szCs w:val="32"/>
          <w:lang w:val="en-US" w:eastAsia="zh-CN" w:bidi="ar-SA"/>
        </w:rPr>
        <w:t>殡葬规划用地的绿</w:t>
      </w:r>
      <w:r>
        <w:rPr>
          <w:rFonts w:hint="eastAsia" w:ascii="方正仿宋_GBK" w:hAnsi="方正仿宋_GBK" w:eastAsia="方正仿宋_GBK" w:cs="方正仿宋_GBK"/>
          <w:color w:val="auto"/>
          <w:kern w:val="2"/>
          <w:sz w:val="32"/>
          <w:szCs w:val="32"/>
          <w:lang w:val="en-US" w:eastAsia="zh-CN" w:bidi="ar-SA"/>
        </w:rPr>
        <w:t>化</w:t>
      </w:r>
      <w:r>
        <w:rPr>
          <w:rFonts w:hint="default" w:ascii="方正仿宋_GBK" w:hAnsi="方正仿宋_GBK" w:eastAsia="方正仿宋_GBK" w:cs="方正仿宋_GBK"/>
          <w:color w:val="auto"/>
          <w:kern w:val="2"/>
          <w:sz w:val="32"/>
          <w:szCs w:val="32"/>
          <w:lang w:val="en-US" w:eastAsia="zh-CN" w:bidi="ar-SA"/>
        </w:rPr>
        <w:t>覆盖率不低于</w:t>
      </w:r>
      <w:r>
        <w:rPr>
          <w:rFonts w:hint="eastAsia" w:ascii="方正仿宋_GBK" w:hAnsi="方正仿宋_GBK" w:eastAsia="方正仿宋_GBK" w:cs="方正仿宋_GBK"/>
          <w:color w:val="auto"/>
          <w:kern w:val="2"/>
          <w:sz w:val="32"/>
          <w:szCs w:val="32"/>
          <w:lang w:val="en-US" w:eastAsia="zh-CN" w:bidi="ar-SA"/>
        </w:rPr>
        <w:t>3</w:t>
      </w:r>
      <w:r>
        <w:rPr>
          <w:rFonts w:hint="default" w:ascii="方正仿宋_GBK" w:hAnsi="方正仿宋_GBK" w:eastAsia="方正仿宋_GBK" w:cs="方正仿宋_GBK"/>
          <w:color w:val="auto"/>
          <w:kern w:val="2"/>
          <w:sz w:val="32"/>
          <w:szCs w:val="32"/>
          <w:lang w:val="en-US" w:eastAsia="zh-CN" w:bidi="ar-SA"/>
        </w:rPr>
        <w:t>0%，确保建设一片绿化一片，作为公共基础设施永久保留、循环利用。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19" w:name="_Toc24574"/>
      <w:bookmarkStart w:id="120" w:name="_Toc31705"/>
      <w:bookmarkStart w:id="121" w:name="_Toc6249"/>
      <w:r>
        <w:rPr>
          <w:rFonts w:hint="eastAsia" w:ascii="方正黑体_GBK" w:hAnsi="方正黑体_GBK" w:eastAsia="方正黑体_GBK" w:cs="方正黑体_GBK"/>
          <w:snapToGrid/>
          <w:color w:val="000000"/>
          <w:kern w:val="2"/>
          <w:sz w:val="32"/>
          <w:szCs w:val="32"/>
          <w:lang w:val="en-US" w:eastAsia="zh-CN"/>
        </w:rPr>
        <w:t>二、殡葬设施用地选址</w:t>
      </w:r>
      <w:bookmarkEnd w:id="119"/>
      <w:bookmarkEnd w:id="120"/>
      <w:bookmarkEnd w:id="1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殡仪馆：</w:t>
      </w:r>
      <w:r>
        <w:rPr>
          <w:rFonts w:hint="eastAsia" w:ascii="方正仿宋_GBK" w:hAnsi="方正仿宋_GBK" w:eastAsia="方正仿宋_GBK" w:cs="方正仿宋_GBK"/>
          <w:color w:val="auto"/>
          <w:kern w:val="2"/>
          <w:sz w:val="32"/>
          <w:szCs w:val="32"/>
          <w:highlight w:val="none"/>
          <w:lang w:val="en-US" w:eastAsia="zh-CN" w:bidi="ar-SA"/>
        </w:rPr>
        <w:t>按照民政部各省（自治区）地级市均要建设火葬设施要求，规划在青铜峡市内新建带火葬设施的殡仪馆1座。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方正仿宋_GBK" w:hAnsi="方正仿宋_GBK" w:eastAsia="方正仿宋_GBK" w:cs="方正仿宋_GBK"/>
          <w:b w:val="0"/>
          <w:bCs w:val="0"/>
          <w:color w:val="auto"/>
          <w:sz w:val="32"/>
          <w:szCs w:val="32"/>
          <w:lang w:val="en-US" w:eastAsia="zh-CN"/>
        </w:rPr>
      </w:pPr>
      <w:r>
        <w:rPr>
          <w:rFonts w:hint="eastAsia" w:ascii="方正楷体_GBK" w:hAnsi="方正楷体_GBK" w:eastAsia="方正楷体_GBK" w:cs="方正楷体_GBK"/>
          <w:b/>
          <w:bCs/>
          <w:color w:val="auto"/>
          <w:kern w:val="2"/>
          <w:sz w:val="32"/>
          <w:szCs w:val="32"/>
          <w:lang w:val="en-US" w:eastAsia="zh-CN" w:bidi="ar-SA"/>
        </w:rPr>
        <w:t>殡仪服务中心：</w:t>
      </w:r>
      <w:r>
        <w:rPr>
          <w:rFonts w:hint="eastAsia" w:ascii="方正仿宋_GBK" w:hAnsi="方正仿宋_GBK" w:eastAsia="方正仿宋_GBK" w:cs="方正仿宋_GBK"/>
          <w:color w:val="auto"/>
          <w:kern w:val="2"/>
          <w:sz w:val="32"/>
          <w:szCs w:val="32"/>
          <w:lang w:val="en-US" w:eastAsia="zh-CN" w:bidi="ar-SA"/>
        </w:rPr>
        <w:t>为方便群众文明祭祀，规划在牛首山公墓内建设1个殡仪服务中心，</w:t>
      </w:r>
      <w:r>
        <w:rPr>
          <w:rFonts w:hint="eastAsia" w:ascii="方正仿宋_GBK" w:hAnsi="方正仿宋_GBK" w:eastAsia="方正仿宋_GBK" w:cs="方正仿宋_GBK"/>
          <w:b w:val="0"/>
          <w:bCs w:val="0"/>
          <w:color w:val="auto"/>
          <w:sz w:val="32"/>
          <w:szCs w:val="32"/>
          <w:lang w:val="en-US" w:eastAsia="zh-CN"/>
        </w:rPr>
        <w:t>牛首山公墓有限公司投资400万元，在公墓办公楼东侧至曹大沟间建设占地面积8亩，建筑面积为724平方米的殡仪服务中心。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22" w:name="_Toc24171"/>
      <w:bookmarkStart w:id="123" w:name="_Toc31666"/>
      <w:bookmarkStart w:id="124" w:name="_Toc24963"/>
      <w:bookmarkStart w:id="125" w:name="_Toc21492"/>
      <w:r>
        <w:rPr>
          <w:rFonts w:hint="eastAsia" w:ascii="方正黑体_GBK" w:hAnsi="方正黑体_GBK" w:eastAsia="方正黑体_GBK" w:cs="方正黑体_GBK"/>
          <w:snapToGrid/>
          <w:color w:val="000000"/>
          <w:kern w:val="2"/>
          <w:sz w:val="32"/>
          <w:szCs w:val="32"/>
          <w:lang w:val="en-US" w:eastAsia="zh-CN"/>
        </w:rPr>
        <w:t>三、规范殡葬设施用地审批手续</w:t>
      </w:r>
      <w:bookmarkEnd w:id="122"/>
      <w:bookmarkEnd w:id="123"/>
      <w:bookmarkEnd w:id="124"/>
      <w:bookmarkEnd w:id="125"/>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w:t>
      </w:r>
      <w:r>
        <w:rPr>
          <w:rFonts w:hint="eastAsia" w:ascii="方正仿宋_GBK" w:hAnsi="方正仿宋_GBK" w:eastAsia="方正仿宋_GBK" w:cs="方正仿宋_GBK"/>
          <w:color w:val="auto"/>
          <w:kern w:val="2"/>
          <w:sz w:val="32"/>
          <w:szCs w:val="32"/>
          <w:lang w:val="en-US" w:eastAsia="zh-CN" w:bidi="ar-SA"/>
        </w:rPr>
        <w:t>对现有公墓，完善相关手续，由民政会同自然资源等部门进行调研，提出“尊重历史，实事求是，依法依规”的原则，要求对现有公墓用地进行测量，分清公益性、经营性用地及公共设施用地性质，分门别类，依法供给土地，办理使用手续，争取在近期逐步妥善解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对于墓区现有全部土地面积（包括已开发利用和剩余殡葬用地）以各墓地设施为主，进行一次性规划基础设施和绿化、道路、公共设施分区，规划公益性、经营性及节地生态安葬墓区用地，根据相关规定申报备案，这是墓区办理土地手续和今后建设的基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对于公墓范围内面积较大的未开发用地，属于规划50年殡葬用地需求的，根据墓区实际需要，纳入国土空间规划，按规划依据办理建设用地征转相关手续，列入当地殡葬建设用地规划，按开发建设程序报批，公益性公墓及殡葬设施用地采取划拨方式，经营性墓地实行一次性招、拍、挂供地或分期（5年）分批招、拍、挂供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w:t>
      </w:r>
      <w:r>
        <w:rPr>
          <w:rFonts w:hint="eastAsia" w:ascii="方正仿宋_GBK" w:hAnsi="方正仿宋_GBK" w:eastAsia="方正仿宋_GBK" w:cs="方正仿宋_GBK"/>
          <w:color w:val="auto"/>
          <w:kern w:val="2"/>
          <w:sz w:val="32"/>
          <w:szCs w:val="32"/>
          <w:lang w:val="en-US" w:eastAsia="zh-CN" w:bidi="ar-SA"/>
        </w:rPr>
        <w:t>对新规划的公墓，与相关部门明确具体位置，完善相关土地手续。按照规划，进行一次性规划基础设施和绿化、道路、公共设施分区，规划公益性、经营性及节地生态安葬墓区用地，坚持5年的土地规划开发建设期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26" w:name="_Toc27320"/>
      <w:bookmarkStart w:id="127" w:name="_Toc26901"/>
      <w:bookmarkStart w:id="128" w:name="_Toc21380"/>
      <w:r>
        <w:rPr>
          <w:rFonts w:hint="eastAsia" w:ascii="方正黑体_GBK" w:hAnsi="方正黑体_GBK" w:eastAsia="方正黑体_GBK" w:cs="方正黑体_GBK"/>
          <w:snapToGrid/>
          <w:color w:val="000000"/>
          <w:kern w:val="2"/>
          <w:sz w:val="32"/>
          <w:szCs w:val="32"/>
          <w:lang w:val="en-US" w:eastAsia="zh-CN"/>
        </w:rPr>
        <w:t>四、殡葬设施规划建设</w:t>
      </w:r>
      <w:bookmarkEnd w:id="126"/>
      <w:bookmarkEnd w:id="127"/>
      <w:bookmarkEnd w:id="12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（一）公墓建设标准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1.公益性公墓。</w:t>
      </w:r>
      <w:r>
        <w:rPr>
          <w:rFonts w:hint="eastAsia" w:ascii="方正仿宋_GBK" w:hAnsi="方正仿宋_GBK" w:eastAsia="方正仿宋_GBK" w:cs="方正仿宋_GBK"/>
          <w:color w:val="auto"/>
          <w:kern w:val="2"/>
          <w:sz w:val="32"/>
          <w:szCs w:val="32"/>
          <w:lang w:val="en-US" w:eastAsia="zh-CN" w:bidi="ar-SA"/>
        </w:rPr>
        <w:t>指为辖区群众提供遗体安葬或骨灰安置服务且不以盈利为目的的公共墓地，旨在满足城乡居民遗体安葬或骨灰安置的基本殡葬需求，以体现和谐社会条件下公益事业均等化和普惠特点。公墓内应设置多种安葬形式。公益性公墓建设应体现园林化特点，宜开设防火隔离带，绿化覆盖率不低于30%。公墓内道路应有明显标识，通向骨灰安置区的道路应有环形路。道路出入ロ不应少于2个，出入口最大宽度不宜大于10米。公墓应配置遗物祭品焚烧专用设备，其烟尘和气态污染物排放应符合国家有关标准的规定。还应设置分类垃圾箱，祭奠场所应设置封闭的固体废弃物盛放装置。公益性公墓建设必须严格按照民政部《城市公益性公墓建设标准》（建标182-2017）。</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b/>
          <w:bCs/>
          <w:color w:val="auto"/>
          <w:kern w:val="2"/>
          <w:sz w:val="32"/>
          <w:szCs w:val="32"/>
          <w:lang w:val="en-US" w:eastAsia="zh-CN" w:bidi="ar-SA"/>
        </w:rPr>
        <w:t>2.经营性公墓。</w:t>
      </w:r>
      <w:r>
        <w:rPr>
          <w:rFonts w:hint="eastAsia" w:ascii="方正仿宋_GBK" w:hAnsi="方正仿宋_GBK" w:eastAsia="方正仿宋_GBK" w:cs="方正仿宋_GBK"/>
          <w:color w:val="auto"/>
          <w:kern w:val="2"/>
          <w:sz w:val="32"/>
          <w:szCs w:val="32"/>
          <w:lang w:val="en-US" w:eastAsia="zh-CN" w:bidi="ar-SA"/>
        </w:rPr>
        <w:t>指为群众提供骨灰安葬或遗体安葬并实行有偿服务的公共墓地。墓园内应设置多种安葬形式，逐步推动节地生态安葬等绿色安葬形式，</w:t>
      </w:r>
      <w:r>
        <w:rPr>
          <w:rFonts w:hint="eastAsia" w:ascii="方正仿宋_GBK" w:hAnsi="方正仿宋_GBK" w:eastAsia="方正仿宋_GBK" w:cs="方正仿宋_GBK"/>
          <w:color w:val="auto"/>
          <w:sz w:val="32"/>
          <w:szCs w:val="32"/>
          <w:lang w:val="en-US" w:eastAsia="zh-CN"/>
        </w:rPr>
        <w:t>在西山公墓富贵苑东侧规划10亩土地、牛首山公墓规划5亩土地，由公墓公司建设树葬区，免费为火化的群众提供墓位，引导群众进行树葬等生态葬。</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楷体_GBK" w:hAnsi="方正楷体_GBK" w:eastAsia="方正楷体_GBK" w:cs="方正楷体_GBK"/>
          <w:b/>
          <w:bCs/>
          <w:color w:val="auto"/>
          <w:sz w:val="32"/>
          <w:szCs w:val="32"/>
          <w:lang w:val="en-US" w:eastAsia="zh-CN"/>
        </w:rPr>
      </w:pPr>
      <w:r>
        <w:rPr>
          <w:rFonts w:hint="eastAsia" w:ascii="方正仿宋_GBK" w:hAnsi="方正仿宋_GBK" w:eastAsia="方正仿宋_GBK" w:cs="方正仿宋_GBK"/>
          <w:color w:val="auto"/>
          <w:kern w:val="2"/>
          <w:sz w:val="32"/>
          <w:szCs w:val="32"/>
          <w:lang w:val="en-US" w:eastAsia="zh-CN" w:bidi="ar-SA"/>
        </w:rPr>
        <w:t>公墓应配置遗物祭品焚烧专用设备，其烟尘和气态污染物排放应符合国家有关标准的规定。还应设置分类垃圾箱，祭奠场所应设置封闭的固体废弃物盛放装置。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方正楷体_GBK" w:hAnsi="方正楷体_GBK" w:eastAsia="方正楷体_GBK" w:cs="方正楷体_GBK"/>
          <w:b/>
          <w:bCs/>
          <w:snapToGrid/>
          <w:color w:val="000000"/>
          <w:kern w:val="2"/>
          <w:sz w:val="32"/>
          <w:szCs w:val="32"/>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（二）殡仪服务设施建设标准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1.殡仪馆。</w:t>
      </w:r>
      <w:r>
        <w:rPr>
          <w:rFonts w:hint="eastAsia" w:ascii="方正仿宋_GBK" w:hAnsi="方正仿宋_GBK" w:eastAsia="方正仿宋_GBK" w:cs="方正仿宋_GBK"/>
          <w:color w:val="auto"/>
          <w:kern w:val="2"/>
          <w:sz w:val="32"/>
          <w:szCs w:val="32"/>
          <w:highlight w:val="none"/>
          <w:lang w:val="en-US" w:eastAsia="zh-CN" w:bidi="ar-SA"/>
        </w:rPr>
        <w:t>建设应按照建设部、民政部联合颁布的《殡仪馆建设标准》 (建标 181-2017)《殡仪馆建筑设计规范》(建标﹝1999﹞257 号)选址、设计和施工。新建殡仪馆绿地率宜为35%，殡仪馆建筑耐火等级不应低于二级。</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殡仪馆建设规模以年遗体处理量确定，年遗体处理量等于服务人口数量乘以当地人口死亡率。</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总平面布局应根据功能分设业务区、殡仪区、火化区、骨灰寄存区、行政办公区和停车场。殡仪馆各功能分区中各类用房面积比例宜符合相关的规定。</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2.殡仪服务中心。</w:t>
      </w:r>
      <w:r>
        <w:rPr>
          <w:rFonts w:hint="eastAsia" w:ascii="方正仿宋_GBK" w:hAnsi="方正仿宋_GBK" w:eastAsia="方正仿宋_GBK" w:cs="方正仿宋_GBK"/>
          <w:color w:val="auto"/>
          <w:kern w:val="2"/>
          <w:sz w:val="32"/>
          <w:szCs w:val="32"/>
          <w:lang w:val="en-US" w:eastAsia="zh-CN" w:bidi="ar-SA"/>
        </w:rPr>
        <w:t>是由民政部门管理的专门从事遗体接运、存放和悼念逝者等殡葬服务场所。</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楷体_GBK" w:hAnsi="方正楷体_GBK" w:eastAsia="方正楷体_GBK" w:cs="方正楷体_GBK"/>
          <w:b/>
          <w:bCs/>
          <w:color w:val="auto"/>
          <w:kern w:val="2"/>
          <w:sz w:val="32"/>
          <w:szCs w:val="32"/>
          <w:highlight w:val="none"/>
          <w:lang w:val="en-US" w:eastAsia="zh-CN" w:bidi="ar-SA"/>
        </w:rPr>
      </w:pPr>
      <w:r>
        <w:rPr>
          <w:rFonts w:hint="eastAsia" w:ascii="方正楷体_GBK" w:hAnsi="方正楷体_GBK" w:eastAsia="方正楷体_GBK" w:cs="方正楷体_GBK"/>
          <w:b/>
          <w:bCs/>
          <w:snapToGrid/>
          <w:color w:val="000000"/>
          <w:kern w:val="2"/>
          <w:sz w:val="32"/>
          <w:szCs w:val="32"/>
          <w:lang w:val="en-US" w:eastAsia="zh-CN" w:bidi="ar-SA"/>
        </w:rPr>
        <w:t>（三）公墓建设</w:t>
      </w:r>
      <w:r>
        <w:rPr>
          <w:rFonts w:hint="eastAsia" w:ascii="方正楷体_GBK" w:hAnsi="方正楷体_GBK" w:eastAsia="方正楷体_GBK" w:cs="方正楷体_GBK"/>
          <w:b/>
          <w:bCs/>
          <w:color w:val="auto"/>
          <w:kern w:val="2"/>
          <w:sz w:val="32"/>
          <w:szCs w:val="32"/>
          <w:highlight w:val="none"/>
          <w:lang w:val="en-US" w:eastAsia="zh-CN" w:bidi="ar-SA"/>
        </w:rPr>
        <w:t xml:space="preserve"> </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jc w:val="both"/>
        <w:textAlignment w:val="auto"/>
        <w:outlineLvl w:val="9"/>
        <w:rPr>
          <w:rFonts w:hint="eastAsia" w:ascii="方正仿宋_GBK" w:hAnsi="方正仿宋_GBK" w:eastAsia="方正仿宋_GBK" w:cs="方正仿宋_GBK"/>
          <w:b w:val="0"/>
          <w:bCs w:val="0"/>
          <w:color w:val="auto"/>
          <w:kern w:val="2"/>
          <w:sz w:val="32"/>
          <w:szCs w:val="32"/>
          <w:highlight w:val="none"/>
          <w:lang w:val="en-US" w:eastAsia="zh-CN" w:bidi="ar-SA"/>
        </w:rPr>
      </w:pPr>
      <w:r>
        <w:rPr>
          <w:rFonts w:hint="eastAsia" w:ascii="方正仿宋_GBK" w:hAnsi="方正仿宋_GBK" w:eastAsia="方正仿宋_GBK" w:cs="方正仿宋_GBK"/>
          <w:b w:val="0"/>
          <w:bCs w:val="0"/>
          <w:color w:val="auto"/>
          <w:kern w:val="2"/>
          <w:sz w:val="32"/>
          <w:szCs w:val="32"/>
          <w:highlight w:val="none"/>
          <w:lang w:val="en-US" w:eastAsia="zh-CN" w:bidi="ar-SA"/>
        </w:rPr>
        <w:t>详见附表7青铜峡市殡葬设施规划一览表（第26页）</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1.经营性公墓</w:t>
      </w:r>
      <w:r>
        <w:rPr>
          <w:rFonts w:hint="eastAsia" w:ascii="方正仿宋_GBK" w:hAnsi="方正仿宋_GBK" w:eastAsia="方正仿宋_GBK" w:cs="方正仿宋_GBK"/>
          <w:color w:val="auto"/>
          <w:kern w:val="2"/>
          <w:sz w:val="32"/>
          <w:szCs w:val="32"/>
          <w:highlight w:val="none"/>
          <w:lang w:val="en-US" w:eastAsia="zh-CN" w:bidi="ar-SA"/>
        </w:rPr>
        <w:t>。均为现状保留设施，规划期间针对不同墓地设施存在的不同问题做出相应规划，按照</w:t>
      </w:r>
      <w:r>
        <w:rPr>
          <w:rFonts w:hint="eastAsia" w:ascii="方正仿宋_GBK" w:hAnsi="方正仿宋_GBK" w:eastAsia="方正仿宋_GBK" w:cs="方正仿宋_GBK"/>
          <w:color w:val="auto"/>
          <w:kern w:val="2"/>
          <w:sz w:val="32"/>
          <w:szCs w:val="32"/>
          <w:lang w:val="en-US" w:eastAsia="zh-CN" w:bidi="ar-SA"/>
        </w:rPr>
        <w:t>相关政策要求不再増加经营性公墓数量，规划内容如下：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西山公墓：汉民经营性墓区规划完善公墓内部基础设施建设，按规范要求布置给水排水设施，严格控制墓穴大小，建设一定比例的骨灰穴和节地生态安葬设施，逐步减少遗体墓穴的建设，努力提高墓区绿化覆盖率。公墓应配置遗物祭品焚烧专用设备。祭奠场所应设置封闭的固体废弃物盛放装置。注重公墓生态景观建设，逐步形成富有特色的文化墓园。禁止建设超面积大墓、豪华墓、住宅式墓地、家族式墓地、装棺二次葬的现象发生，规范殡葬管理。远期规划2028-2035年期间，分别在</w:t>
      </w:r>
      <w:r>
        <w:rPr>
          <w:rFonts w:hint="eastAsia" w:ascii="方正仿宋_GBK" w:hAnsi="方正仿宋_GBK" w:eastAsia="方正仿宋_GBK" w:cs="方正仿宋_GBK"/>
          <w:color w:val="auto"/>
          <w:kern w:val="2"/>
          <w:sz w:val="32"/>
          <w:szCs w:val="32"/>
          <w:highlight w:val="none"/>
          <w:lang w:val="en-US" w:eastAsia="zh-CN" w:bidi="ar-SA"/>
        </w:rPr>
        <w:t>公墓内部建设树葬、花坛葬设施，满足当地群众祭扫需求。回民公益性墓区规划完善土地使用手续；完善墓区内部道路、绿化等基础设施建设，倡导使用可降解的材料，不使用石匣，不留坟头的葬法，鼓励种树，绿化、美化墓区，营造良好的墓园环境，服务于当地回族群众。</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牛首山公墓：汉民经营性墓区规划完善内部基础设施建设，严格控制墓穴大小，建设一定比例的骨灰墓穴和节地生态安葬设施，逐步减少遗体墓穴的建设，努力提高墓区绿化覆盖率；公墓应配置遗物祭品焚烧专用设备。祭奠场所应设置封闭的固体废弃物盛放装置。公墓需在墓区等层面加强文化建设，逐步形成富有特色的文化墓区。凭借节地生态安葬设施开展生动活泼的生命文化教育，有利于人们树立正确的生命价值观</w:t>
      </w:r>
      <w:r>
        <w:rPr>
          <w:rFonts w:hint="eastAsia" w:ascii="方正仿宋_GBK" w:hAnsi="方正仿宋_GBK" w:eastAsia="方正仿宋_GBK" w:cs="方正仿宋_GBK"/>
          <w:color w:val="auto"/>
          <w:kern w:val="2"/>
          <w:sz w:val="32"/>
          <w:szCs w:val="32"/>
          <w:highlight w:val="none"/>
          <w:lang w:val="en-US" w:eastAsia="zh-CN" w:bidi="ar-SA"/>
        </w:rPr>
        <w:t>及推广节地生态安葬。远</w:t>
      </w:r>
      <w:r>
        <w:rPr>
          <w:rFonts w:hint="eastAsia" w:ascii="方正仿宋_GBK" w:hAnsi="方正仿宋_GBK" w:eastAsia="方正仿宋_GBK" w:cs="方正仿宋_GBK"/>
          <w:color w:val="auto"/>
          <w:kern w:val="2"/>
          <w:sz w:val="32"/>
          <w:szCs w:val="32"/>
          <w:lang w:val="en-US" w:eastAsia="zh-CN" w:bidi="ar-SA"/>
        </w:rPr>
        <w:t>期规划2028-2035年期间，分别在公墓内部建设树葬、花坛葬设施，满足当地群众祭扫需求。汉民公益性墓区规划按相关规定完善土地使用手续；近期重点针对墓区现状进行整治，加强公墓植树绿化，倡导节地安葬，杜绝圈地乱埋乱葬现象。回民公益性墓区是历史形成的墓地，积极争取政府财政资金，新修道路，植树绿化，倡导节地安葬，杜绝圈地现象，倡导回族群众慢慢减少使用石匣，引导使用可降解的材料。</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Calibri" w:hAnsi="Calibri" w:eastAsia="方正仿宋_GBK" w:cs="Calibri"/>
          <w:b/>
          <w:bCs/>
          <w:color w:val="auto"/>
          <w:kern w:val="2"/>
          <w:sz w:val="32"/>
          <w:szCs w:val="32"/>
          <w:highlight w:val="none"/>
          <w:lang w:val="en-US" w:eastAsia="zh-CN" w:bidi="ar-SA"/>
        </w:rPr>
        <w:t>2.公益性</w:t>
      </w:r>
      <w:r>
        <w:rPr>
          <w:rFonts w:hint="eastAsia" w:ascii="方正仿宋_GBK" w:hAnsi="方正仿宋_GBK" w:eastAsia="方正仿宋_GBK" w:cs="方正仿宋_GBK"/>
          <w:b/>
          <w:bCs/>
          <w:color w:val="auto"/>
          <w:kern w:val="2"/>
          <w:sz w:val="32"/>
          <w:szCs w:val="32"/>
          <w:highlight w:val="none"/>
          <w:lang w:val="en-US" w:eastAsia="zh-CN" w:bidi="ar-SA"/>
        </w:rPr>
        <w:t>公墓</w:t>
      </w:r>
      <w:r>
        <w:rPr>
          <w:rFonts w:hint="eastAsia" w:ascii="方正仿宋_GBK" w:hAnsi="方正仿宋_GBK" w:eastAsia="方正仿宋_GBK" w:cs="方正仿宋_GBK"/>
          <w:color w:val="auto"/>
          <w:kern w:val="2"/>
          <w:sz w:val="32"/>
          <w:szCs w:val="32"/>
          <w:highlight w:val="none"/>
          <w:lang w:val="en-US" w:eastAsia="zh-CN" w:bidi="ar-SA"/>
        </w:rPr>
        <w:t>。均为现状保留设施，规划期间针对不同墓地设施存在的不同问题做出相应规划，</w:t>
      </w:r>
      <w:r>
        <w:rPr>
          <w:rFonts w:hint="eastAsia" w:ascii="方正仿宋_GBK" w:hAnsi="方正仿宋_GBK" w:eastAsia="方正仿宋_GBK" w:cs="方正仿宋_GBK"/>
          <w:color w:val="auto"/>
          <w:kern w:val="2"/>
          <w:sz w:val="32"/>
          <w:szCs w:val="32"/>
          <w:lang w:val="en-US" w:eastAsia="zh-CN" w:bidi="ar-SA"/>
        </w:rPr>
        <w:t>规划内容如下：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铝厂公墓：主要服务于公墓周边群众及铝厂职工，完善公墓内部道路、环卫、消防等基础设施建设，建设一定比例的骨灰及节地生态安葬墓区。改善墓区环境，配置遗物祭品焚烧专用设备。祭奠场所应设置封闭的固体废弃物盛放装置。禁止建设超面积大墓、豪华墓，住宅式墓地的现象发生，规范公墓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val="0"/>
          <w:bCs w:val="0"/>
          <w:color w:val="auto"/>
          <w:kern w:val="2"/>
          <w:sz w:val="32"/>
          <w:szCs w:val="32"/>
          <w:lang w:val="en-US" w:eastAsia="zh-CN" w:bidi="ar-SA"/>
        </w:rPr>
        <w:t>公益性公墓管理措施。</w:t>
      </w:r>
      <w:r>
        <w:rPr>
          <w:rFonts w:hint="eastAsia" w:ascii="方正仿宋_GBK" w:hAnsi="方正仿宋_GBK" w:eastAsia="方正仿宋_GBK" w:cs="方正仿宋_GBK"/>
          <w:color w:val="auto"/>
          <w:kern w:val="2"/>
          <w:sz w:val="32"/>
          <w:szCs w:val="32"/>
          <w:lang w:val="en-US" w:eastAsia="zh-CN" w:bidi="ar-SA"/>
        </w:rPr>
        <w:t>一是将牛首山汉民公益性墓区交由牛首山公墓公司代管，新修道路，整理空地，允许修建公益性墓位，由发改局进行成本核算制定销售价格。二是成立公墓管理服务中心，由市民政局管理，每个墓区招聘或调配2-3名公益岗职工，对牛首山回民公益性墓区、西山回民公益性墓区、铝厂公墓进行24小时管护，加强公墓绿化，引导群众按照规划，依次有序埋葬，管护人员工资纳入政府财政预算。</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公墓建设坚持节约资源、保护生态、方便群众、从严管控的原则，提倡移风易俗、厚养薄葬，鼓励采用无碑、无坟堆、花草树木等新的文明埋葬方式。</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公益性公墓墓穴的使用，以划分区域为主，按墓穴顺序依次埋葬，任何人不得随意挑选或预定墓穴，不得任意扩大墓穴用地。</w:t>
      </w:r>
    </w:p>
    <w:p>
      <w:pPr>
        <w:pStyle w:val="2"/>
        <w:keepNext w:val="0"/>
        <w:keepLines w:val="0"/>
        <w:pageBreakBefore w:val="0"/>
        <w:widowControl w:val="0"/>
        <w:numPr>
          <w:ilvl w:val="0"/>
          <w:numId w:val="3"/>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楷体_GBK" w:hAnsi="方正楷体_GBK" w:eastAsia="方正楷体_GBK" w:cs="方正楷体_GBK"/>
          <w:b/>
          <w:bCs/>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 xml:space="preserve">殡仪馆及殡仪服务中心建设 </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200"/>
        <w:jc w:val="both"/>
        <w:textAlignment w:val="auto"/>
        <w:outlineLvl w:val="9"/>
        <w:rPr>
          <w:rFonts w:hint="eastAsia" w:ascii="方正楷体_GBK" w:hAnsi="方正楷体_GBK" w:eastAsia="方正楷体_GBK" w:cs="方正楷体_GBK"/>
          <w:b w:val="0"/>
          <w:bCs w:val="0"/>
          <w:color w:val="auto"/>
          <w:kern w:val="2"/>
          <w:sz w:val="32"/>
          <w:szCs w:val="32"/>
          <w:highlight w:val="none"/>
          <w:lang w:val="en-US" w:eastAsia="zh-CN" w:bidi="ar-SA"/>
        </w:rPr>
      </w:pPr>
      <w:r>
        <w:rPr>
          <w:rFonts w:hint="eastAsia" w:ascii="方正仿宋_GBK" w:hAnsi="方正仿宋_GBK" w:eastAsia="方正仿宋_GBK" w:cs="方正仿宋_GBK"/>
          <w:b w:val="0"/>
          <w:bCs w:val="0"/>
          <w:color w:val="auto"/>
          <w:kern w:val="2"/>
          <w:sz w:val="32"/>
          <w:szCs w:val="32"/>
          <w:highlight w:val="none"/>
          <w:lang w:val="en-US" w:eastAsia="zh-CN" w:bidi="ar-SA"/>
        </w:rPr>
        <w:t>详见附表7青铜峡市殡葬设施规划一览表（第26页）</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0" w:firstLineChars="200"/>
        <w:jc w:val="left"/>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完善殡仪服务设施，规划新建牛首山殡仪服务中心，规划新建火葬殡仪馆。具体如下：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1.</w:t>
      </w:r>
      <w:r>
        <w:rPr>
          <w:rFonts w:hint="eastAsia" w:ascii="方正仿宋_GBK" w:hAnsi="方正仿宋_GBK" w:eastAsia="方正仿宋_GBK" w:cs="方正仿宋_GBK"/>
          <w:color w:val="auto"/>
          <w:kern w:val="2"/>
          <w:sz w:val="32"/>
          <w:szCs w:val="32"/>
          <w:highlight w:val="none"/>
          <w:lang w:val="en-US" w:eastAsia="zh-CN" w:bidi="ar-SA"/>
        </w:rPr>
        <w:t>市殡仪馆：位于小坝镇古峡西街以北，距市区1公里，占地面积5亩，完善基础设施建设。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b/>
          <w:bCs/>
          <w:color w:val="auto"/>
          <w:kern w:val="2"/>
          <w:sz w:val="32"/>
          <w:szCs w:val="32"/>
          <w:highlight w:val="none"/>
          <w:lang w:val="en-US" w:eastAsia="zh-CN" w:bidi="ar-SA"/>
        </w:rPr>
        <w:t>2.</w:t>
      </w:r>
      <w:r>
        <w:rPr>
          <w:rFonts w:hint="eastAsia" w:ascii="方正仿宋_GBK" w:hAnsi="方正仿宋_GBK" w:eastAsia="方正仿宋_GBK" w:cs="方正仿宋_GBK"/>
          <w:color w:val="auto"/>
          <w:kern w:val="2"/>
          <w:sz w:val="32"/>
          <w:szCs w:val="32"/>
          <w:highlight w:val="none"/>
          <w:lang w:val="en-US" w:eastAsia="zh-CN" w:bidi="ar-SA"/>
        </w:rPr>
        <w:t>新建牛首山殡仪服务中心：新建殡仪服务中心均应编制详细建设规划，包括总平面图和鸟瞰图，对道路、停车场、绿化及附属设施建设进行详细布置，并申报备案。殡仪服务中心应规划设置行政办公区、综合服务区、吊唁厅、主干道路、停车场、绿化、水利水电等，吊唁厅应设置一大、二中、二小共五个档次不同的吊唁厅，可供用户按需选择。大的掉念厅满足规模较大的家庭使用可容纳200-300人。</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t>3.规划建设火葬殡仪馆。在青铜峡市境内建设占地30亩的火葬场1座。规划殡仪馆均应编制详细的建设规划，包括业务区、殡仪区、火化区、骨灰寄存区、行政办公区和停车场。殡仪馆各功能分区中各类用房面积比例宜符合相关的规定。</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629" w:leftChars="0"/>
        <w:textAlignment w:val="auto"/>
        <w:rPr>
          <w:rFonts w:hint="eastAsia" w:ascii="方正黑体_GBK" w:hAnsi="方正黑体_GBK" w:eastAsia="方正黑体_GBK" w:cs="方正黑体_GBK"/>
          <w:snapToGrid/>
          <w:color w:val="000000"/>
          <w:kern w:val="2"/>
          <w:sz w:val="32"/>
          <w:szCs w:val="32"/>
          <w:lang w:val="en-US" w:eastAsia="zh-CN" w:bidi="ar-SA"/>
        </w:rPr>
      </w:pPr>
      <w:r>
        <w:rPr>
          <w:rFonts w:hint="eastAsia" w:ascii="方正黑体_GBK" w:hAnsi="方正黑体_GBK" w:eastAsia="方正黑体_GBK" w:cs="方正黑体_GBK"/>
          <w:snapToGrid/>
          <w:color w:val="000000"/>
          <w:kern w:val="2"/>
          <w:sz w:val="32"/>
          <w:szCs w:val="32"/>
          <w:lang w:val="en-US" w:eastAsia="zh-CN" w:bidi="ar-SA"/>
        </w:rPr>
        <w:t>五、各殡葬设施近期重点建设项目</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0" w:leftChars="0" w:firstLine="640" w:firstLineChars="200"/>
        <w:textAlignment w:val="auto"/>
        <w:rPr>
          <w:rFonts w:hint="eastAsia" w:ascii="黑体" w:hAnsi="黑体" w:eastAsia="黑体" w:cs="黑体"/>
          <w:color w:val="auto"/>
          <w:sz w:val="32"/>
          <w:szCs w:val="32"/>
          <w:highlight w:val="none"/>
          <w:lang w:val="en-US" w:eastAsia="zh-CN"/>
        </w:rPr>
      </w:pPr>
      <w:r>
        <w:rPr>
          <w:rFonts w:hint="eastAsia" w:ascii="方正仿宋_GBK" w:hAnsi="方正仿宋_GBK" w:eastAsia="方正仿宋_GBK" w:cs="方正仿宋_GBK"/>
          <w:color w:val="auto"/>
          <w:kern w:val="2"/>
          <w:sz w:val="32"/>
          <w:szCs w:val="32"/>
          <w:highlight w:val="none"/>
          <w:lang w:val="en-US" w:eastAsia="zh-CN" w:bidi="ar-SA"/>
        </w:rPr>
        <w:t>详见附表8青铜峡市各殡葬设施近期重点建设投资项目建议表。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（一）</w:t>
      </w:r>
      <w:r>
        <w:rPr>
          <w:rFonts w:hint="eastAsia" w:ascii="方正仿宋_GBK" w:hAnsi="方正仿宋_GBK" w:eastAsia="方正仿宋_GBK" w:cs="方正仿宋_GBK"/>
          <w:color w:val="auto"/>
          <w:kern w:val="2"/>
          <w:sz w:val="32"/>
          <w:szCs w:val="32"/>
          <w:highlight w:val="none"/>
          <w:lang w:val="en-US" w:eastAsia="zh-CN" w:bidi="ar-SA"/>
        </w:rPr>
        <w:t>近期逐步完成各殡葬设施现状土地定界工作，分析各墓地设施土地利用现状，土地利用规划为建设用地的，依法规范完善用地手续。土地利用规划不是建设用地的，应按程序进行报批。</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（二）</w:t>
      </w:r>
      <w:r>
        <w:rPr>
          <w:rFonts w:hint="eastAsia" w:ascii="方正仿宋_GBK" w:hAnsi="方正仿宋_GBK" w:eastAsia="方正仿宋_GBK" w:cs="方正仿宋_GBK"/>
          <w:color w:val="auto"/>
          <w:kern w:val="2"/>
          <w:sz w:val="32"/>
          <w:szCs w:val="32"/>
          <w:highlight w:val="none"/>
          <w:lang w:val="en-US" w:eastAsia="zh-CN" w:bidi="ar-SA"/>
        </w:rPr>
        <w:t>针对各殡葬设施现状基础设施不完善的，对近期需要建设的殡葬设施做出相应的建议，逐步满足近期群众对殡葬设施的需求。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（三）</w:t>
      </w:r>
      <w:r>
        <w:rPr>
          <w:rFonts w:hint="eastAsia" w:ascii="方正仿宋_GBK" w:hAnsi="方正仿宋_GBK" w:eastAsia="方正仿宋_GBK" w:cs="方正仿宋_GBK"/>
          <w:color w:val="auto"/>
          <w:kern w:val="2"/>
          <w:sz w:val="32"/>
          <w:szCs w:val="32"/>
          <w:highlight w:val="none"/>
          <w:lang w:val="en-US" w:eastAsia="zh-CN" w:bidi="ar-SA"/>
        </w:rPr>
        <w:t>各墓地及殡仪服务设施均应编制详细的墓区建设规划，包括总平面图和鸟瞰图，对道路、停车场、绿化及附属设施建设进行详细布置，并申报备案。</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highlight w:val="none"/>
          <w:lang w:val="en-US" w:eastAsia="zh-CN" w:bidi="ar-SA"/>
        </w:rPr>
        <w:t>（四）</w:t>
      </w:r>
      <w:r>
        <w:rPr>
          <w:rFonts w:hint="eastAsia" w:ascii="方正仿宋_GBK" w:hAnsi="方正仿宋_GBK" w:eastAsia="方正仿宋_GBK" w:cs="方正仿宋_GBK"/>
          <w:color w:val="auto"/>
          <w:kern w:val="2"/>
          <w:sz w:val="32"/>
          <w:szCs w:val="32"/>
          <w:lang w:val="en-US" w:eastAsia="zh-CN" w:bidi="ar-SA"/>
        </w:rPr>
        <w:t>各公墓都要在加强现有管理的基础上，制定年度计划，加大投资力度，完善基础设施和公共服务设施，完成节地生态安葬和纪念设施的建设任务。</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629" w:leftChars="0"/>
        <w:textAlignment w:val="auto"/>
        <w:rPr>
          <w:rFonts w:hint="eastAsia" w:ascii="方正黑体_GBK" w:hAnsi="方正黑体_GBK" w:eastAsia="方正黑体_GBK" w:cs="方正黑体_GBK"/>
          <w:snapToGrid/>
          <w:color w:val="000000"/>
          <w:kern w:val="2"/>
          <w:sz w:val="32"/>
          <w:szCs w:val="32"/>
          <w:lang w:val="en-US" w:eastAsia="zh-CN" w:bidi="ar-SA"/>
        </w:rPr>
      </w:pPr>
      <w:bookmarkStart w:id="129" w:name="_Toc8058"/>
      <w:bookmarkStart w:id="130" w:name="_Toc3588"/>
      <w:bookmarkStart w:id="131" w:name="_Toc4025"/>
      <w:bookmarkStart w:id="132" w:name="_Toc1753"/>
      <w:r>
        <w:rPr>
          <w:rFonts w:hint="eastAsia" w:ascii="方正黑体_GBK" w:hAnsi="方正黑体_GBK" w:eastAsia="方正黑体_GBK" w:cs="方正黑体_GBK"/>
          <w:snapToGrid/>
          <w:color w:val="000000"/>
          <w:kern w:val="2"/>
          <w:sz w:val="32"/>
          <w:szCs w:val="32"/>
          <w:lang w:val="en-US" w:eastAsia="zh-CN" w:bidi="ar-SA"/>
        </w:rPr>
        <w:t>六、与相关规划衔接</w:t>
      </w:r>
      <w:bookmarkEnd w:id="129"/>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殡葬事业发展规划要符合青铜峡市实际情况，更要结合相关规划与之衔接，符合相关规划的总体方针和目标。</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（一）与民政事业发展规划衔接。</w:t>
      </w:r>
      <w:r>
        <w:rPr>
          <w:rFonts w:hint="eastAsia" w:ascii="方正仿宋_GBK" w:hAnsi="方正仿宋_GBK" w:eastAsia="方正仿宋_GBK" w:cs="方正仿宋_GBK"/>
          <w:color w:val="auto"/>
          <w:kern w:val="2"/>
          <w:sz w:val="32"/>
          <w:szCs w:val="32"/>
          <w:lang w:val="en-US" w:eastAsia="zh-CN" w:bidi="ar-SA"/>
        </w:rPr>
        <w:t>推进节地生态安葬，加大对乱埋乱葬和墓位面积超标问题的治理力度，逐步形成保基本、广覆盖、可持续的殡葬基本公共服务体系。本规划以节约资源、保护环境为价值导向，以科学合理确定殡葬设施数量、规模、布局和功能为目标导向，结合青铜峡市实际情况，科学评估测算出本行政区域殡仪服务和公墓用地总量、除现有公墓用地外需增加的用地量，对于青铜峡市殡葬事业发展具有重要支撑作用。</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（二）与国土空间规划衔接。</w:t>
      </w:r>
      <w:r>
        <w:rPr>
          <w:rFonts w:hint="eastAsia" w:ascii="方正仿宋_GBK" w:hAnsi="方正仿宋_GBK" w:eastAsia="方正仿宋_GBK" w:cs="方正仿宋_GBK"/>
          <w:color w:val="auto"/>
          <w:kern w:val="2"/>
          <w:sz w:val="32"/>
          <w:szCs w:val="32"/>
          <w:lang w:val="en-US" w:eastAsia="zh-CN" w:bidi="ar-SA"/>
        </w:rPr>
        <w:t>规划按照促进区域协调发展，加快青铜峡市殡葬事业改革，发挥殡葬事业在构建和谐社会中的基础性保障作用的原则，以全市城乡健康发展为目标，以保障人民群众基本殡葬需求为出发点和落脚点，将殡葬规划用地纳入空间规划，切实推动殡葬事业科学健康发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方正黑体_GBK" w:hAnsi="方正黑体_GBK" w:eastAsia="方正黑体_GBK" w:cs="方正黑体_GBK"/>
          <w:snapToGrid/>
          <w:color w:val="000000"/>
          <w:kern w:val="2"/>
          <w:sz w:val="32"/>
          <w:szCs w:val="32"/>
          <w:lang w:val="en-US" w:eastAsia="zh-CN"/>
        </w:rPr>
      </w:pPr>
      <w:bookmarkStart w:id="133" w:name="_Toc14529"/>
      <w:bookmarkStart w:id="134" w:name="_Toc4205"/>
      <w:r>
        <w:rPr>
          <w:rFonts w:hint="eastAsia" w:ascii="方正黑体_GBK" w:hAnsi="方正黑体_GBK" w:eastAsia="方正黑体_GBK" w:cs="方正黑体_GBK"/>
          <w:snapToGrid/>
          <w:color w:val="000000"/>
          <w:kern w:val="2"/>
          <w:sz w:val="32"/>
          <w:szCs w:val="32"/>
          <w:lang w:val="en-US" w:eastAsia="zh-CN"/>
        </w:rPr>
        <w:t>七、建立基本殡葬服务制度</w:t>
      </w:r>
      <w:bookmarkEnd w:id="133"/>
      <w:bookmarkEnd w:id="134"/>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（一）明确政策要求。</w:t>
      </w:r>
      <w:r>
        <w:rPr>
          <w:rFonts w:hint="eastAsia" w:ascii="方正仿宋_GBK" w:hAnsi="方正仿宋_GBK" w:eastAsia="方正仿宋_GBK" w:cs="方正仿宋_GBK"/>
          <w:color w:val="auto"/>
          <w:kern w:val="2"/>
          <w:sz w:val="32"/>
          <w:szCs w:val="32"/>
          <w:lang w:val="en-US" w:eastAsia="zh-CN" w:bidi="ar-SA"/>
        </w:rPr>
        <w:t>根据青铜峡市实际情况，科学制定推行惠民殡葬政策的工作方案和实施办法，积极争取以政府发文或协调相关部门联合发文形式发布实施。明确惠民具体项目，政策覆盖人群，救助保障标准、资金来源渠道、申请条件程序等内容，尽可能简化操作程序，减少结算环节，推行惠民项目减免“一站式”结算服务，确保便民、快捷、高效。加强与社会救助、养老保险等制度的衔接，通过多种方式，对享受国家定期抚恤补助的城乡居民的基本殡葬需求给予保障。</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（二）坚持统筹推进。</w:t>
      </w:r>
      <w:r>
        <w:rPr>
          <w:rFonts w:hint="eastAsia" w:ascii="方正仿宋_GBK" w:hAnsi="方正仿宋_GBK" w:eastAsia="方正仿宋_GBK" w:cs="方正仿宋_GBK"/>
          <w:color w:val="auto"/>
          <w:kern w:val="2"/>
          <w:sz w:val="32"/>
          <w:szCs w:val="32"/>
          <w:lang w:val="en-US" w:eastAsia="zh-CN" w:bidi="ar-SA"/>
        </w:rPr>
        <w:t>遵循先易后难、先起步再提标的原则，有重点、有步骤、分层次地推动惠民殡葬政策实施，逐步从重点救助对象扩大到户籍人口和常住人口，从减免基本殡葬服务费用延展到奖补生态安葬方式。惠民殡葬政策将城乡困难群众基本殡葬需求纳入保障范围，列入地方财政预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（三）坚持统筹城乡发展。</w:t>
      </w:r>
      <w:r>
        <w:rPr>
          <w:rFonts w:hint="eastAsia" w:ascii="方正仿宋_GBK" w:hAnsi="方正仿宋_GBK" w:eastAsia="方正仿宋_GBK" w:cs="方正仿宋_GBK"/>
          <w:color w:val="auto"/>
          <w:kern w:val="2"/>
          <w:sz w:val="32"/>
          <w:szCs w:val="32"/>
          <w:lang w:val="en-US" w:eastAsia="zh-CN" w:bidi="ar-SA"/>
        </w:rPr>
        <w:t>加快研究制定农村、流动人口、外来务工人员等群体的惠民殡葬政策，努力实现殡葬基本公共服务普惠性、均等化。对履行基本殡葬服务职能的殡仪馆、火葬场、公益性公墓等殡葬服务单位，落实政府投入和税费减免配套优惠政策，确保持续稳定地提供基本殡葬服务。鼓励青铜峡市经营性公墓自主开展节地生态安葬，对积极建设节地生态安葬场地和设施项目的，完成项目申报、组织实施、竣工验收、投入使用等程序后，给予一定奖励补助。</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（四）争取公共投入。</w:t>
      </w:r>
      <w:r>
        <w:rPr>
          <w:rFonts w:hint="eastAsia" w:ascii="方正仿宋_GBK" w:hAnsi="方正仿宋_GBK" w:eastAsia="方正仿宋_GBK" w:cs="方正仿宋_GBK"/>
          <w:color w:val="auto"/>
          <w:kern w:val="2"/>
          <w:sz w:val="32"/>
          <w:szCs w:val="32"/>
          <w:lang w:val="en-US" w:eastAsia="zh-CN" w:bidi="ar-SA"/>
        </w:rPr>
        <w:t>将殡葬救助保障等公共服务支出列入本级政府财政预算，建立健全殡葬公共服务投入和稳定增长机制。按照国家相关规划要求，将保障群众基本殡葬需求放在重要位置，争取政府重点安排预算为城乡基本生活困难家庭解决基本殡葬服务费用，并为采取骨灰撒散等生态安葬方式的亡故者提供免费服务。不断加大与基本殡葬服务相配套的设施设备的更新改造力度，健全以遗体火化、骨灰存放及生态安葬为主的殡葬公共服务网络，保障惠民殡葬政策顺利实施。</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（五）明确职责分工。</w:t>
      </w:r>
      <w:r>
        <w:rPr>
          <w:rFonts w:hint="eastAsia" w:ascii="方正仿宋_GBK" w:hAnsi="方正仿宋_GBK" w:eastAsia="方正仿宋_GBK" w:cs="方正仿宋_GBK"/>
          <w:color w:val="auto"/>
          <w:kern w:val="2"/>
          <w:sz w:val="32"/>
          <w:szCs w:val="32"/>
          <w:lang w:val="en-US" w:eastAsia="zh-CN" w:bidi="ar-SA"/>
        </w:rPr>
        <w:t>各有关部门要进一步明确殡葬管理职责分工、加强协同配合、建立政府主导、民政牵头、部门协作的惠民殡葬工作机制。负责制定惠民殡葬政策具体实施办法，指导殡葬服务单位做好服务对象资格审查、费用结算、档案管理等工作，不断增强服务能力，提高服务水平，加强财政部门的协调，将实施惠民殡葬政策所需资金纳入年度预算，足额安排，定期结算，并随火化人员数量增减和发改部门收费标准做出相应调整。</w:t>
      </w:r>
    </w:p>
    <w:p>
      <w:pPr>
        <w:pStyle w:val="6"/>
        <w:keepNext w:val="0"/>
        <w:keepLines w:val="0"/>
        <w:pageBreakBefore w:val="0"/>
        <w:widowControl w:val="0"/>
        <w:tabs>
          <w:tab w:val="right" w:leader="dot" w:pos="8250"/>
          <w:tab w:val="clear" w:pos="8296"/>
        </w:tabs>
        <w:kinsoku/>
        <w:wordWrap/>
        <w:overflowPunct/>
        <w:topLinePunct w:val="0"/>
        <w:autoSpaceDE/>
        <w:autoSpaceDN/>
        <w:bidi w:val="0"/>
        <w:adjustRightInd/>
        <w:snapToGrid/>
        <w:spacing w:line="560" w:lineRule="exact"/>
        <w:ind w:left="0" w:leftChars="0"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lang w:val="en-US" w:eastAsia="zh-CN" w:bidi="ar-SA"/>
        </w:rPr>
        <w:t>（六）加强宣传引导。</w:t>
      </w:r>
      <w:r>
        <w:rPr>
          <w:rFonts w:hint="eastAsia" w:ascii="方正仿宋_GBK" w:hAnsi="方正仿宋_GBK" w:eastAsia="方正仿宋_GBK" w:cs="方正仿宋_GBK"/>
          <w:color w:val="auto"/>
          <w:kern w:val="2"/>
          <w:sz w:val="32"/>
          <w:szCs w:val="32"/>
          <w:lang w:val="en-US" w:eastAsia="zh-CN" w:bidi="ar-SA"/>
        </w:rPr>
        <w:t>抓好惠民殡葬政策的落实工作，切实加强惠民殡葬专项资金管理，确保专款专用，公开透明。建立健全惠民殡葬政策公开公示制度，利用宣传单、服务卡、公示墙等多种形式，将惠民政策实施内容、惠及人群、减免报销方式等关系群众切身利益的问题，主动向社会公开，扩大政策知晓度，不断提高群众参与殡葬改革的主动性。充分发挥惠民殡葬政策的综合社会效力，将其与逐步推行火葬、生态殡葬、倡导移风易俗结合起来，加强政策宣传，强化舆论引导，形成以惠民政策带动遗体火化普及、节地生态安葬、丧事文明简办的效果，营造推动殡葬改革的良好氛围。</w:t>
      </w:r>
      <w:r>
        <w:rPr>
          <w:rFonts w:hint="eastAsia" w:ascii="方正仿宋_GBK" w:hAnsi="方正仿宋_GBK" w:eastAsia="方正仿宋_GBK" w:cs="方正仿宋_GBK"/>
          <w:color w:val="auto"/>
          <w:kern w:val="2"/>
          <w:sz w:val="32"/>
          <w:szCs w:val="32"/>
          <w:highlight w:val="none"/>
          <w:lang w:val="en-US" w:eastAsia="zh-CN" w:bidi="ar-SA"/>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bookmarkStart w:id="135" w:name="_Toc15492"/>
      <w:bookmarkStart w:id="136" w:name="_Toc15224"/>
      <w:bookmarkStart w:id="137" w:name="_Toc22874"/>
      <w:bookmarkStart w:id="138" w:name="_Toc2341"/>
      <w:bookmarkStart w:id="139" w:name="_Toc2598"/>
      <w:r>
        <w:rPr>
          <w:rFonts w:hint="eastAsia" w:ascii="方正小标宋_GBK" w:hAnsi="方正小标宋_GBK" w:eastAsia="方正小标宋_GBK" w:cs="方正小标宋_GBK"/>
          <w:snapToGrid/>
          <w:color w:val="000000"/>
          <w:kern w:val="2"/>
          <w:sz w:val="44"/>
          <w:szCs w:val="44"/>
          <w:lang w:val="en-US" w:eastAsia="zh-CN"/>
        </w:rPr>
        <w:t xml:space="preserve"> 殡葬管理</w:t>
      </w:r>
      <w:bookmarkEnd w:id="135"/>
      <w:bookmarkEnd w:id="136"/>
      <w:r>
        <w:rPr>
          <w:rFonts w:hint="eastAsia" w:ascii="方正小标宋_GBK" w:hAnsi="方正小标宋_GBK" w:eastAsia="方正小标宋_GBK" w:cs="方正小标宋_GBK"/>
          <w:snapToGrid/>
          <w:color w:val="000000"/>
          <w:kern w:val="2"/>
          <w:sz w:val="44"/>
          <w:szCs w:val="44"/>
          <w:lang w:val="en-US" w:eastAsia="zh-CN"/>
        </w:rPr>
        <w:t>制度</w:t>
      </w:r>
      <w:bookmarkEnd w:id="137"/>
      <w:bookmarkEnd w:id="138"/>
      <w:bookmarkEnd w:id="139"/>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right="0" w:rightChars="0"/>
        <w:jc w:val="both"/>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40" w:name="_Toc2591"/>
      <w:bookmarkStart w:id="141" w:name="_Toc13405"/>
      <w:bookmarkStart w:id="142" w:name="_Toc3279"/>
      <w:bookmarkStart w:id="143" w:name="_Toc32205"/>
      <w:bookmarkStart w:id="144" w:name="_Toc7700"/>
      <w:r>
        <w:rPr>
          <w:rFonts w:hint="eastAsia" w:ascii="方正黑体_GBK" w:hAnsi="方正黑体_GBK" w:eastAsia="方正黑体_GBK" w:cs="方正黑体_GBK"/>
          <w:snapToGrid/>
          <w:color w:val="000000"/>
          <w:kern w:val="2"/>
          <w:sz w:val="32"/>
          <w:szCs w:val="32"/>
          <w:lang w:val="en-US" w:eastAsia="zh-CN"/>
        </w:rPr>
        <w:t>一、完善殡葬管理</w:t>
      </w:r>
      <w:bookmarkEnd w:id="140"/>
      <w:bookmarkEnd w:id="141"/>
      <w:r>
        <w:rPr>
          <w:rFonts w:hint="eastAsia" w:ascii="方正黑体_GBK" w:hAnsi="方正黑体_GBK" w:eastAsia="方正黑体_GBK" w:cs="方正黑体_GBK"/>
          <w:snapToGrid/>
          <w:color w:val="000000"/>
          <w:kern w:val="2"/>
          <w:sz w:val="32"/>
          <w:szCs w:val="32"/>
          <w:lang w:val="en-US" w:eastAsia="zh-CN"/>
        </w:rPr>
        <w:t>办法</w:t>
      </w:r>
      <w:bookmarkEnd w:id="142"/>
      <w:bookmarkEnd w:id="143"/>
      <w:bookmarkEnd w:id="14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lang w:val="en-US" w:eastAsia="zh-CN" w:bidi="ar-SA"/>
        </w:rPr>
        <w:t>为进一步推进殡葬改革，规范殡葬管理，根据《国务院殡葬管理条例》、《宁夏回族自治区殡葬管理</w:t>
      </w:r>
      <w:r>
        <w:rPr>
          <w:rFonts w:hint="eastAsia" w:ascii="方正仿宋_GBK" w:hAnsi="方正仿宋_GBK" w:eastAsia="方正仿宋_GBK" w:cs="方正仿宋_GBK"/>
          <w:color w:val="auto"/>
          <w:kern w:val="2"/>
          <w:sz w:val="32"/>
          <w:szCs w:val="32"/>
          <w:highlight w:val="none"/>
          <w:lang w:val="en-US" w:eastAsia="zh-CN" w:bidi="ar-SA"/>
        </w:rPr>
        <w:t>办法》、宁夏回族自治区物价局 财政厅《关于我区殡葬服务收费有关问题的批复》（宁价费发﹝2003﹞115号）和《关于规范殡葬服务收费标准的通知》（青发改价格﹝2023﹞2号），结合青铜峡市实际，制定本管理办法。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w:t>
      </w:r>
      <w:r>
        <w:rPr>
          <w:rFonts w:hint="eastAsia" w:ascii="方正仿宋_GBK" w:hAnsi="方正仿宋_GBK" w:eastAsia="方正仿宋_GBK" w:cs="方正仿宋_GBK"/>
          <w:color w:val="auto"/>
          <w:kern w:val="2"/>
          <w:sz w:val="32"/>
          <w:szCs w:val="32"/>
          <w:lang w:val="en-US" w:eastAsia="zh-CN" w:bidi="ar-SA"/>
        </w:rPr>
        <w:t>凡户籍所在地和居住地均在青铜峡市的城乡居民死亡后，埋葬遗体、建造坟墓应当进入经区、市、民政部门批准的公益性或经营性公墓，提倡火葬，禁止乱埋乱葬，加快土葬改革，实现埋葬公墓化。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w:t>
      </w:r>
      <w:r>
        <w:rPr>
          <w:rFonts w:hint="eastAsia" w:ascii="方正仿宋_GBK" w:hAnsi="方正仿宋_GBK" w:eastAsia="方正仿宋_GBK" w:cs="方正仿宋_GBK"/>
          <w:color w:val="auto"/>
          <w:kern w:val="2"/>
          <w:sz w:val="32"/>
          <w:szCs w:val="32"/>
          <w:lang w:val="en-US" w:eastAsia="zh-CN" w:bidi="ar-SA"/>
        </w:rPr>
        <w:t>在青铜峡市的国家机关、社会团体及企事业单位的干部职工死亡后必须葬入公墓，少数民族党员干部去世后，尊重其民族习俗，按照有关规定予以安葬。</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（三）</w:t>
      </w:r>
      <w:r>
        <w:rPr>
          <w:rFonts w:hint="eastAsia" w:ascii="方正仿宋_GBK" w:hAnsi="方正仿宋_GBK" w:eastAsia="方正仿宋_GBK" w:cs="方正仿宋_GBK"/>
          <w:color w:val="auto"/>
          <w:kern w:val="2"/>
          <w:sz w:val="32"/>
          <w:szCs w:val="32"/>
          <w:lang w:val="en-US" w:eastAsia="zh-CN" w:bidi="ar-SA"/>
        </w:rPr>
        <w:t>禁止在耕地、林地、公园、风景名胜区、文物保护区、水库、河流堤坝附近、水源保护区1000米和铁路、公路两侧500米以内建造坟墓。对以上区域建造的坟墓以及城镇建设拆迁、农田建设、重点工程，应当限期迁移。迁坟并在规定期内主动迁入公墓的，按照</w:t>
      </w:r>
      <w:r>
        <w:rPr>
          <w:rFonts w:hint="default"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lang w:val="en-US" w:eastAsia="zh-CN"/>
        </w:rPr>
        <w:t>吴忠市</w:t>
      </w:r>
      <w:r>
        <w:rPr>
          <w:rFonts w:hint="default" w:ascii="方正仿宋_GBK" w:hAnsi="方正仿宋_GBK" w:eastAsia="方正仿宋_GBK" w:cs="方正仿宋_GBK"/>
          <w:color w:val="auto"/>
          <w:sz w:val="32"/>
          <w:szCs w:val="32"/>
          <w:lang w:val="en-US" w:eastAsia="zh-CN"/>
        </w:rPr>
        <w:t>人民政府关于地上附着物和青苗补偿标准的批复》（</w:t>
      </w:r>
      <w:r>
        <w:rPr>
          <w:rFonts w:hint="eastAsia" w:ascii="方正仿宋_GBK" w:hAnsi="方正仿宋_GBK" w:eastAsia="方正仿宋_GBK" w:cs="方正仿宋_GBK"/>
          <w:color w:val="auto"/>
          <w:sz w:val="32"/>
          <w:szCs w:val="32"/>
          <w:lang w:val="en-US" w:eastAsia="zh-CN"/>
        </w:rPr>
        <w:t>吴政发〔2022〕51号</w:t>
      </w:r>
      <w:r>
        <w:rPr>
          <w:rFonts w:hint="default"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lang w:val="en-US" w:eastAsia="zh-CN"/>
        </w:rPr>
        <w:t>规定的补偿标准</w:t>
      </w:r>
      <w:r>
        <w:rPr>
          <w:rFonts w:hint="eastAsia" w:ascii="方正仿宋_GBK" w:hAnsi="方正仿宋_GBK" w:eastAsia="方正仿宋_GBK" w:cs="方正仿宋_GBK"/>
          <w:color w:val="auto"/>
          <w:kern w:val="2"/>
          <w:sz w:val="32"/>
          <w:szCs w:val="32"/>
          <w:lang w:val="en-US" w:eastAsia="zh-CN" w:bidi="ar-SA"/>
        </w:rPr>
        <w:t>给予补助。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（四）</w:t>
      </w:r>
      <w:r>
        <w:rPr>
          <w:rFonts w:hint="eastAsia" w:ascii="方正仿宋_GBK" w:hAnsi="方正仿宋_GBK" w:eastAsia="方正仿宋_GBK" w:cs="方正仿宋_GBK"/>
          <w:color w:val="auto"/>
          <w:kern w:val="2"/>
          <w:sz w:val="32"/>
          <w:szCs w:val="32"/>
          <w:lang w:val="en-US" w:eastAsia="zh-CN" w:bidi="ar-SA"/>
        </w:rPr>
        <w:t>办理丧事活动，不得妨碍公共秩序，危害公共安全和侵害他人的合法权益。城镇居民办理丧事活动，不得在公共场所搭建灵棚、停放尸体，办理丧事到市殡仪馆办理；不得在街道、居民区游丧、抛洒纸钱；严禁在禁火区域燃放鞭炮、焚烧祭品。对出现以上情况的，由城市管理综合执法局与小区物业公司共同对丧主及殡葬从业人员进行劝导、制止。不听劝告的，由住建局依法处置，构成违反治安管理行为的，由公安机关依法给予治安处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（五）</w:t>
      </w:r>
      <w:r>
        <w:rPr>
          <w:rFonts w:hint="eastAsia" w:ascii="方正仿宋_GBK" w:hAnsi="方正仿宋_GBK" w:eastAsia="方正仿宋_GBK" w:cs="方正仿宋_GBK"/>
          <w:color w:val="auto"/>
          <w:kern w:val="2"/>
          <w:sz w:val="32"/>
          <w:szCs w:val="32"/>
          <w:lang w:val="en-US" w:eastAsia="zh-CN" w:bidi="ar-SA"/>
        </w:rPr>
        <w:t>未经批准，任何单位和个人不得兴建殡葬设施，擅自兴建殡葬设施，由民政部门会同住建、自然资源等部门予以取缔，并依据相关规定予以处罚。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（六）</w:t>
      </w:r>
      <w:r>
        <w:rPr>
          <w:rFonts w:hint="eastAsia" w:ascii="方正仿宋_GBK" w:hAnsi="方正仿宋_GBK" w:eastAsia="方正仿宋_GBK" w:cs="方正仿宋_GBK"/>
          <w:color w:val="auto"/>
          <w:kern w:val="2"/>
          <w:sz w:val="32"/>
          <w:szCs w:val="32"/>
          <w:lang w:val="en-US" w:eastAsia="zh-CN" w:bidi="ar-SA"/>
        </w:rPr>
        <w:t>公益性公墓应充分考虑群众的承受能力，遵循不以盈利为目的</w:t>
      </w:r>
      <w:r>
        <w:rPr>
          <w:rFonts w:hint="eastAsia" w:ascii="方正仿宋_GBK" w:hAnsi="方正仿宋_GBK" w:eastAsia="方正仿宋_GBK" w:cs="方正仿宋_GBK"/>
          <w:color w:val="auto"/>
          <w:kern w:val="2"/>
          <w:sz w:val="32"/>
          <w:szCs w:val="32"/>
          <w:highlight w:val="none"/>
          <w:lang w:val="en-US" w:eastAsia="zh-CN" w:bidi="ar-SA"/>
        </w:rPr>
        <w:t>原则，充分体现社会福利和公益性的特点；土地为政府划拨土地，其公墓价格实行政府定价；公墓经营者销售墓地时，必须与用户签订墓地销售合同。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default"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（七）</w:t>
      </w:r>
      <w:r>
        <w:rPr>
          <w:rFonts w:hint="eastAsia" w:ascii="方正仿宋_GBK" w:hAnsi="方正仿宋_GBK" w:eastAsia="方正仿宋_GBK" w:cs="方正仿宋_GBK"/>
          <w:color w:val="auto"/>
          <w:kern w:val="2"/>
          <w:sz w:val="32"/>
          <w:szCs w:val="32"/>
          <w:highlight w:val="none"/>
          <w:lang w:val="en-US" w:eastAsia="zh-CN" w:bidi="ar-SA"/>
        </w:rPr>
        <w:t>切实加强对公墓的管理和年检，提倡公墓生态化、园林化、艺术化、人文化和墓碑小型化、平卧化、提倡深埋、撒散等不保留骨灰和树葬、花葬、草坪葬等节地生态安葬方式。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lang w:val="en-US" w:eastAsia="zh-CN" w:bidi="ar-SA"/>
        </w:rPr>
        <w:t>（八）</w:t>
      </w:r>
      <w:r>
        <w:rPr>
          <w:rFonts w:hint="default" w:ascii="方正楷体_GBK" w:hAnsi="方正楷体_GBK" w:eastAsia="方正楷体_GBK" w:cs="方正楷体_GBK"/>
          <w:b/>
          <w:bCs/>
          <w:color w:val="auto"/>
          <w:kern w:val="2"/>
          <w:sz w:val="32"/>
          <w:szCs w:val="32"/>
          <w:lang w:val="en-US" w:eastAsia="zh-CN" w:bidi="ar-SA"/>
        </w:rPr>
        <w:t>严格控制墓穴占地标准。</w:t>
      </w:r>
      <w:r>
        <w:rPr>
          <w:rFonts w:hint="eastAsia" w:ascii="方正仿宋_GBK" w:hAnsi="方正仿宋_GBK" w:eastAsia="方正仿宋_GBK" w:cs="方正仿宋_GBK"/>
          <w:color w:val="auto"/>
          <w:kern w:val="2"/>
          <w:sz w:val="32"/>
          <w:szCs w:val="32"/>
          <w:highlight w:val="none"/>
          <w:lang w:val="en-US" w:eastAsia="zh-CN" w:bidi="ar-SA"/>
        </w:rPr>
        <w:t>骨灰墓穴(含双人墓穴)占地面积不得超过2平方米；遗体墓(含双人墓)不得超过6平方米。墓地和骨灰存放格位使用年限为20年。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楷体_GBK" w:hAnsi="方正楷体_GBK" w:eastAsia="方正楷体_GBK" w:cs="方正楷体_GBK"/>
          <w:b/>
          <w:bCs/>
          <w:color w:val="auto"/>
          <w:kern w:val="2"/>
          <w:sz w:val="32"/>
          <w:szCs w:val="32"/>
          <w:lang w:val="en-US" w:eastAsia="zh-CN" w:bidi="ar-SA"/>
        </w:rPr>
        <w:t>（九）引导开展绿色殡葬。</w:t>
      </w:r>
      <w:r>
        <w:rPr>
          <w:rFonts w:hint="eastAsia" w:ascii="方正仿宋_GBK" w:hAnsi="方正仿宋_GBK" w:eastAsia="方正仿宋_GBK" w:cs="方正仿宋_GBK"/>
          <w:color w:val="auto"/>
          <w:kern w:val="2"/>
          <w:sz w:val="32"/>
          <w:szCs w:val="32"/>
          <w:highlight w:val="none"/>
          <w:lang w:val="en-US" w:eastAsia="zh-CN" w:bidi="ar-SA"/>
        </w:rPr>
        <w:t>积极引导群众开展火葬、骨灰撒河、树葬、草坪葬等绿色殡葬。</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45" w:name="_Toc9905"/>
      <w:bookmarkStart w:id="146" w:name="_Toc9521"/>
      <w:bookmarkStart w:id="147" w:name="_Toc18979"/>
      <w:r>
        <w:rPr>
          <w:rFonts w:hint="eastAsia" w:ascii="方正黑体_GBK" w:hAnsi="方正黑体_GBK" w:eastAsia="方正黑体_GBK" w:cs="方正黑体_GBK"/>
          <w:snapToGrid/>
          <w:color w:val="000000"/>
          <w:kern w:val="2"/>
          <w:sz w:val="32"/>
          <w:szCs w:val="32"/>
          <w:lang w:val="en-US" w:eastAsia="zh-CN"/>
        </w:rPr>
        <w:t>二、明确部门职责</w:t>
      </w:r>
      <w:bookmarkEnd w:id="145"/>
      <w:bookmarkEnd w:id="146"/>
      <w:bookmarkEnd w:id="14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发改局</w:t>
      </w:r>
      <w:r>
        <w:rPr>
          <w:rFonts w:hint="eastAsia" w:ascii="方正仿宋_GBK" w:hAnsi="方正仿宋_GBK" w:eastAsia="方正仿宋_GBK" w:cs="方正仿宋_GBK"/>
          <w:color w:val="auto"/>
          <w:kern w:val="2"/>
          <w:sz w:val="32"/>
          <w:szCs w:val="32"/>
          <w:highlight w:val="none"/>
          <w:lang w:val="en-US" w:eastAsia="zh-CN" w:bidi="ar-SA"/>
        </w:rPr>
        <w:t>负责对公益性墓区墓位进行成本测算后，制定销售价格，向社会公布公益性墓穴价格，经营性墓区墓位价格执行市场调节价，受理丧葬用户投诉，依法查处经营者损害丧葬用户权益、扰乱价格秩序的行为。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民政局</w:t>
      </w:r>
      <w:r>
        <w:rPr>
          <w:rFonts w:hint="eastAsia" w:ascii="方正仿宋_GBK" w:hAnsi="方正仿宋_GBK" w:eastAsia="方正仿宋_GBK" w:cs="方正仿宋_GBK"/>
          <w:color w:val="auto"/>
          <w:kern w:val="2"/>
          <w:sz w:val="32"/>
          <w:szCs w:val="32"/>
          <w:lang w:val="en-US" w:eastAsia="zh-CN" w:bidi="ar-SA"/>
        </w:rPr>
        <w:t>负责殡葬管理专项整治工作的组织、牵头、指导、督查督办、积极会同有关部门依法加强殡葬管理，做好殡葬管理政策标准制定、殡葬改革工作组织实施、殡葬设施审批监管等工作。建立健全监督检查制度，切实加强对公墓经营活动的监督检查和管理，坚决打击炒买炒卖墓穴和骨灰存放格位的违法行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自然资源局</w:t>
      </w:r>
      <w:r>
        <w:rPr>
          <w:rFonts w:hint="eastAsia" w:ascii="方正仿宋_GBK" w:hAnsi="方正仿宋_GBK" w:eastAsia="方正仿宋_GBK" w:cs="方正仿宋_GBK"/>
          <w:color w:val="auto"/>
          <w:kern w:val="2"/>
          <w:sz w:val="32"/>
          <w:szCs w:val="32"/>
          <w:lang w:val="en-US" w:eastAsia="zh-CN" w:bidi="ar-SA"/>
        </w:rPr>
        <w:t>负责对殡葬用地的审批管理，对乱占土地建造坟墓的，要依照《中华人民共和国土地管理法》纠正和查处，违法占地建设殡葬设施、违法占用耕地、林地建坟等行为。将全市殡葬设施用地及公墓用地纳入国土空间总体规划，规范殡葬用地手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公安局</w:t>
      </w:r>
      <w:r>
        <w:rPr>
          <w:rFonts w:hint="eastAsia" w:ascii="方正仿宋_GBK" w:hAnsi="方正仿宋_GBK" w:eastAsia="方正仿宋_GBK" w:cs="方正仿宋_GBK"/>
          <w:color w:val="auto"/>
          <w:kern w:val="2"/>
          <w:sz w:val="32"/>
          <w:szCs w:val="32"/>
          <w:lang w:val="en-US" w:eastAsia="zh-CN" w:bidi="ar-SA"/>
        </w:rPr>
        <w:t>加强对本部门出具的非正常死亡证明的管理，查处丧事活动中违反治安管理的行为。对殡葬管理专项整治活动中扰乱社会秩序、危害公共安全、侵害他人合法权益，构成违反《治安管理处罚法》的，给予治安处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市场监督管理局</w:t>
      </w:r>
      <w:r>
        <w:rPr>
          <w:rFonts w:hint="eastAsia" w:ascii="方正仿宋_GBK" w:hAnsi="方正仿宋_GBK" w:eastAsia="方正仿宋_GBK" w:cs="方正仿宋_GBK"/>
          <w:color w:val="auto"/>
          <w:kern w:val="2"/>
          <w:sz w:val="32"/>
          <w:szCs w:val="32"/>
          <w:lang w:val="en-US" w:eastAsia="zh-CN" w:bidi="ar-SA"/>
        </w:rPr>
        <w:t>依法对殡仪馆、殡仪服务中心、公墓收费进行监督检查和管理，指导殡葬服务单位认真执行收费公示制度，做到明码标价。</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财政局</w:t>
      </w:r>
      <w:r>
        <w:rPr>
          <w:rFonts w:hint="eastAsia" w:ascii="方正仿宋_GBK" w:hAnsi="方正仿宋_GBK" w:eastAsia="方正仿宋_GBK" w:cs="方正仿宋_GBK"/>
          <w:color w:val="auto"/>
          <w:kern w:val="2"/>
          <w:sz w:val="32"/>
          <w:szCs w:val="32"/>
          <w:lang w:val="en-US" w:eastAsia="zh-CN" w:bidi="ar-SA"/>
        </w:rPr>
        <w:t>保障落实惠民殡葬和节地生态安葬奖补政策所需的资金，合理核拨殡葬事业单位运营管理经费和殡葬事业发展经费。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卫生健康局</w:t>
      </w:r>
      <w:r>
        <w:rPr>
          <w:rFonts w:hint="eastAsia" w:ascii="方正仿宋_GBK" w:hAnsi="方正仿宋_GBK" w:eastAsia="方正仿宋_GBK" w:cs="方正仿宋_GBK"/>
          <w:color w:val="auto"/>
          <w:kern w:val="2"/>
          <w:sz w:val="32"/>
          <w:szCs w:val="32"/>
          <w:lang w:val="en-US" w:eastAsia="zh-CN" w:bidi="ar-SA"/>
        </w:rPr>
        <w:t xml:space="preserve">加强对医疗机构的监管，规范医院死亡人员遗体处理程序，不得擅自处理遗体和无故在医院停放遗体，并严格执行遗体移交手续。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住建局</w:t>
      </w:r>
      <w:r>
        <w:rPr>
          <w:rFonts w:hint="eastAsia" w:ascii="方正仿宋_GBK" w:hAnsi="方正仿宋_GBK" w:eastAsia="方正仿宋_GBK" w:cs="方正仿宋_GBK"/>
          <w:color w:val="auto"/>
          <w:kern w:val="2"/>
          <w:sz w:val="32"/>
          <w:szCs w:val="32"/>
          <w:lang w:val="en-US" w:eastAsia="zh-CN" w:bidi="ar-SA"/>
        </w:rPr>
        <w:t>负责对治丧环境的管理，制止沿街、沿路乱设灵堂、抛洒冥纸和燃放鞭炮等扰民行为。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各镇政府</w:t>
      </w:r>
      <w:r>
        <w:rPr>
          <w:rFonts w:hint="eastAsia" w:ascii="方正仿宋_GBK" w:hAnsi="方正仿宋_GBK" w:eastAsia="方正仿宋_GBK" w:cs="方正仿宋_GBK"/>
          <w:color w:val="auto"/>
          <w:kern w:val="2"/>
          <w:sz w:val="32"/>
          <w:szCs w:val="32"/>
          <w:lang w:val="en-US" w:eastAsia="zh-CN" w:bidi="ar-SA"/>
        </w:rPr>
        <w:t>负责规范和加强本辖区内殡葬服务管理工作，明确责任，落实任务措施，压实属地管理责任。</w:t>
      </w:r>
      <w:bookmarkStart w:id="148" w:name="_Toc803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49" w:name="_Toc1216"/>
      <w:bookmarkStart w:id="150" w:name="_Toc29550"/>
      <w:bookmarkStart w:id="151" w:name="_Toc13450"/>
      <w:r>
        <w:rPr>
          <w:rFonts w:hint="eastAsia" w:ascii="方正黑体_GBK" w:hAnsi="方正黑体_GBK" w:eastAsia="方正黑体_GBK" w:cs="方正黑体_GBK"/>
          <w:snapToGrid/>
          <w:color w:val="000000"/>
          <w:kern w:val="2"/>
          <w:sz w:val="32"/>
          <w:szCs w:val="32"/>
          <w:lang w:val="en-US" w:eastAsia="zh-CN"/>
        </w:rPr>
        <w:t>三、创新管理</w:t>
      </w:r>
      <w:bookmarkEnd w:id="148"/>
      <w:r>
        <w:rPr>
          <w:rFonts w:hint="eastAsia" w:ascii="方正黑体_GBK" w:hAnsi="方正黑体_GBK" w:eastAsia="方正黑体_GBK" w:cs="方正黑体_GBK"/>
          <w:snapToGrid/>
          <w:color w:val="000000"/>
          <w:kern w:val="2"/>
          <w:sz w:val="32"/>
          <w:szCs w:val="32"/>
          <w:lang w:val="en-US" w:eastAsia="zh-CN"/>
        </w:rPr>
        <w:t>模式</w:t>
      </w:r>
      <w:bookmarkEnd w:id="149"/>
      <w:bookmarkEnd w:id="150"/>
      <w:bookmarkEnd w:id="151"/>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（一）充分利用信息化手段。</w:t>
      </w:r>
      <w:r>
        <w:rPr>
          <w:rFonts w:hint="eastAsia" w:ascii="方正仿宋_GBK" w:hAnsi="方正仿宋_GBK" w:eastAsia="方正仿宋_GBK" w:cs="方正仿宋_GBK"/>
          <w:color w:val="auto"/>
          <w:kern w:val="2"/>
          <w:sz w:val="32"/>
          <w:szCs w:val="32"/>
          <w:lang w:val="en-US" w:eastAsia="zh-CN" w:bidi="ar-SA"/>
        </w:rPr>
        <w:t>加强殡葬服务单位日常信息采集分析，公示机构名录、审批、年度检查、日常抽查等信息，建立殡葬服务单位执业情况通报制度。</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（二）规范互联网模式下的殡葬管理与服务。</w:t>
      </w:r>
      <w:r>
        <w:rPr>
          <w:rFonts w:hint="eastAsia" w:ascii="方正仿宋_GBK" w:hAnsi="方正仿宋_GBK" w:eastAsia="方正仿宋_GBK" w:cs="方正仿宋_GBK"/>
          <w:color w:val="auto"/>
          <w:kern w:val="2"/>
          <w:sz w:val="32"/>
          <w:szCs w:val="32"/>
          <w:lang w:val="en-US" w:eastAsia="zh-CN" w:bidi="ar-SA"/>
        </w:rPr>
        <w:t>加快传统殡葬行业与互联网深度融合。以推行电子政务、建设新型智慧城市为契机，以数据集中和共享为途径，逐步推进殡葬行业的信息共享、技术融合。强化互联网思维，为政府决策和机构高效运行提供数据支持，推进“互联网+殡葬服务”信息基础设施建设，推动互联网和殡葬事业深度融合。</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（三）“互联网+殡葬”融合发展。</w:t>
      </w:r>
      <w:r>
        <w:rPr>
          <w:rFonts w:hint="eastAsia" w:ascii="方正仿宋_GBK" w:hAnsi="方正仿宋_GBK" w:eastAsia="方正仿宋_GBK" w:cs="方正仿宋_GBK"/>
          <w:color w:val="auto"/>
          <w:kern w:val="2"/>
          <w:sz w:val="32"/>
          <w:szCs w:val="32"/>
          <w:lang w:val="en-US" w:eastAsia="zh-CN" w:bidi="ar-SA"/>
        </w:rPr>
        <w:t>运用信息化的手段建立殡葬服务系统。将殡葬行业真正融入未来的智慧社会，促进各项殡葬活动安全、有序、规范、绿色环保地开展。提升民众文明生态殡葬的观念，推进生态殡葬的实施起到重要作用。</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（四）“互联网+”给传统的殡葬行业带来深刻变化。</w:t>
      </w:r>
      <w:r>
        <w:rPr>
          <w:rFonts w:hint="eastAsia" w:ascii="方正仿宋_GBK" w:hAnsi="方正仿宋_GBK" w:eastAsia="方正仿宋_GBK" w:cs="方正仿宋_GBK"/>
          <w:color w:val="auto"/>
          <w:kern w:val="2"/>
          <w:sz w:val="32"/>
          <w:szCs w:val="32"/>
          <w:lang w:val="en-US" w:eastAsia="zh-CN" w:bidi="ar-SA"/>
        </w:rPr>
        <w:t>加快殡葬与互联网的深度融合，利用互联网思维和手段围绕殡葬不断延伸和深化服务，从社会殡葬文化和丧葬需求出发，进行适当的应用创新。于此同时，也需要通过传统媒体、网络新媒体等宣传，让用户接受新的殡葬理念。随着互联网思维的深入人心，殡葬行业必将迎来大好的发展时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方正黑体_GBK" w:hAnsi="方正黑体_GBK" w:eastAsia="方正黑体_GBK" w:cs="方正黑体_GBK"/>
          <w:snapToGrid/>
          <w:color w:val="000000"/>
          <w:kern w:val="2"/>
          <w:sz w:val="32"/>
          <w:szCs w:val="32"/>
          <w:lang w:val="en-US" w:eastAsia="zh-CN"/>
        </w:rPr>
      </w:pPr>
      <w:bookmarkStart w:id="152" w:name="_Toc20495"/>
      <w:bookmarkStart w:id="153" w:name="_Toc29984"/>
      <w:bookmarkStart w:id="154" w:name="_Toc32303"/>
      <w:bookmarkStart w:id="155" w:name="_Toc27132"/>
      <w:r>
        <w:rPr>
          <w:rFonts w:hint="eastAsia" w:ascii="方正黑体_GBK" w:hAnsi="方正黑体_GBK" w:eastAsia="方正黑体_GBK" w:cs="方正黑体_GBK"/>
          <w:snapToGrid/>
          <w:color w:val="000000"/>
          <w:kern w:val="2"/>
          <w:sz w:val="32"/>
          <w:szCs w:val="32"/>
          <w:lang w:val="en-US" w:eastAsia="zh-CN"/>
        </w:rPr>
        <w:t>四、强化保障措施</w:t>
      </w:r>
      <w:bookmarkEnd w:id="152"/>
      <w:bookmarkEnd w:id="153"/>
      <w:bookmarkEnd w:id="154"/>
      <w:bookmarkEnd w:id="155"/>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（一）充分发挥组织的保障和领导作用。</w:t>
      </w:r>
      <w:r>
        <w:rPr>
          <w:rFonts w:hint="eastAsia" w:ascii="方正仿宋_GBK" w:hAnsi="方正仿宋_GBK" w:eastAsia="方正仿宋_GBK" w:cs="方正仿宋_GBK"/>
          <w:color w:val="auto"/>
          <w:kern w:val="2"/>
          <w:sz w:val="32"/>
          <w:szCs w:val="32"/>
          <w:lang w:val="en-US" w:eastAsia="zh-CN" w:bidi="ar-SA"/>
        </w:rPr>
        <w:t>强化组织保障措施，注重人才开发和运用，推动《青铜峡市殡葬事业发展规划》（2023-2035年）顺利实施，不断规范殡葬行为，满足广大群众殡葬需求，确保全市殡葬事业改革发展深入推进。</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（二）加强组织领导。</w:t>
      </w:r>
      <w:r>
        <w:rPr>
          <w:rFonts w:hint="eastAsia" w:ascii="方正仿宋_GBK" w:hAnsi="方正仿宋_GBK" w:eastAsia="方正仿宋_GBK" w:cs="方正仿宋_GBK"/>
          <w:color w:val="auto"/>
          <w:kern w:val="2"/>
          <w:sz w:val="32"/>
          <w:szCs w:val="32"/>
          <w:lang w:val="en-US" w:eastAsia="zh-CN" w:bidi="ar-SA"/>
        </w:rPr>
        <w:t>建立健全党委领导、政府负责、部门协作、社会参与、法治保障的领导体制和工作机制，明确职责分工，完善政策措施，加强目标考核，强化责任落实，加大公共财政投入，夯实殡葬基础设施建设，体现政府的主体责任。</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（三）加强宣传引导。</w:t>
      </w:r>
      <w:r>
        <w:rPr>
          <w:rFonts w:hint="eastAsia" w:ascii="方正仿宋_GBK" w:hAnsi="方正仿宋_GBK" w:eastAsia="方正仿宋_GBK" w:cs="方正仿宋_GBK"/>
          <w:color w:val="auto"/>
          <w:kern w:val="2"/>
          <w:sz w:val="32"/>
          <w:szCs w:val="32"/>
          <w:lang w:val="en-US" w:eastAsia="zh-CN" w:bidi="ar-SA"/>
        </w:rPr>
        <w:t>充分发挥新媒体传播优势，深入宣传殡葬法规政策，普及科学知识，传递文明理念，引导群众转变观念、革除陋俗，树立厚养薄葬、文明节俭、生态环保的殡葬新风尚。</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（四）强化党员干部模范带头作用。</w:t>
      </w:r>
      <w:r>
        <w:rPr>
          <w:rFonts w:hint="eastAsia" w:ascii="方正仿宋_GBK" w:hAnsi="方正仿宋_GBK" w:eastAsia="方正仿宋_GBK" w:cs="方正仿宋_GBK"/>
          <w:color w:val="auto"/>
          <w:kern w:val="2"/>
          <w:sz w:val="32"/>
          <w:szCs w:val="32"/>
          <w:lang w:val="en-US" w:eastAsia="zh-CN" w:bidi="ar-SA"/>
        </w:rPr>
        <w:t>严格落实党员干部带头推动殡葬改革的要求，增强党员干部从严律己意识，强化党纪法规的刚性约束。</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（五）加强督查评估。</w:t>
      </w:r>
      <w:r>
        <w:rPr>
          <w:rFonts w:hint="eastAsia" w:ascii="方正仿宋_GBK" w:hAnsi="方正仿宋_GBK" w:eastAsia="方正仿宋_GBK" w:cs="方正仿宋_GBK"/>
          <w:color w:val="auto"/>
          <w:kern w:val="2"/>
          <w:sz w:val="32"/>
          <w:szCs w:val="32"/>
          <w:lang w:val="en-US" w:eastAsia="zh-CN" w:bidi="ar-SA"/>
        </w:rPr>
        <w:t>各相关部门要加强对殡葬工作政策落实情况的督查评估，定期或不定期地检查是否存在对殡葬行业监管不到位的问题，是否能够及时跟进对殡葬服务单位的事中事后监管，是否能够落实惠民扶持政策等，对发现的问题要逐项整改，加强跟踪分析和通报。</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firstLine="643"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b/>
          <w:bCs/>
          <w:color w:val="auto"/>
          <w:kern w:val="2"/>
          <w:sz w:val="32"/>
          <w:szCs w:val="32"/>
          <w:lang w:val="en-US" w:eastAsia="zh-CN" w:bidi="ar-SA"/>
        </w:rPr>
        <w:t>（六）鼓励探索创新。</w:t>
      </w:r>
      <w:r>
        <w:rPr>
          <w:rFonts w:hint="eastAsia" w:ascii="方正仿宋_GBK" w:hAnsi="方正仿宋_GBK" w:eastAsia="方正仿宋_GBK" w:cs="方正仿宋_GBK"/>
          <w:color w:val="auto"/>
          <w:kern w:val="2"/>
          <w:sz w:val="32"/>
          <w:szCs w:val="32"/>
          <w:lang w:val="en-US" w:eastAsia="zh-CN" w:bidi="ar-SA"/>
        </w:rPr>
        <w:t xml:space="preserve">发扬基层首创精神，围绕殡葬领域体制机制、公共投入、监管执法、信息化建设等重点难点问题，勇于攻坚。寻求解决对策，创造积累经验，不断丰富完善相关政策措施，有效破解改革发展难题。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kern w:val="2"/>
          <w:sz w:val="30"/>
          <w:szCs w:val="30"/>
          <w:lang w:val="en-US" w:eastAsia="zh-CN" w:bidi="ar-SA"/>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方正仿宋_GBK" w:hAnsi="方正仿宋_GBK" w:eastAsia="方正仿宋_GBK" w:cs="方正仿宋_GBK"/>
          <w:color w:val="auto"/>
          <w:kern w:val="2"/>
          <w:sz w:val="30"/>
          <w:szCs w:val="30"/>
          <w:lang w:val="en-US" w:eastAsia="zh-CN" w:bidi="ar-SA"/>
        </w:rPr>
      </w:pPr>
      <w:r>
        <w:rPr>
          <w:rFonts w:hint="eastAsia" w:ascii="方正仿宋_GBK" w:hAnsi="方正仿宋_GBK" w:eastAsia="方正仿宋_GBK" w:cs="方正仿宋_GBK"/>
          <w:color w:val="auto"/>
          <w:kern w:val="2"/>
          <w:sz w:val="30"/>
          <w:szCs w:val="30"/>
          <w:lang w:val="en-US" w:eastAsia="zh-CN" w:bidi="ar-SA"/>
        </w:rPr>
        <w:t xml:space="preserve"> 附表7 青铜峡市殡葬设施规划一览表</w:t>
      </w:r>
    </w:p>
    <w:tbl>
      <w:tblPr>
        <w:tblStyle w:val="10"/>
        <w:tblW w:w="152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21"/>
        <w:gridCol w:w="1934"/>
        <w:gridCol w:w="941"/>
        <w:gridCol w:w="928"/>
        <w:gridCol w:w="1339"/>
        <w:gridCol w:w="8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704"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序号</w:t>
            </w:r>
          </w:p>
        </w:tc>
        <w:tc>
          <w:tcPr>
            <w:tcW w:w="721"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类型</w:t>
            </w:r>
          </w:p>
        </w:tc>
        <w:tc>
          <w:tcPr>
            <w:tcW w:w="1934"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名称</w:t>
            </w:r>
          </w:p>
        </w:tc>
        <w:tc>
          <w:tcPr>
            <w:tcW w:w="941"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属性</w:t>
            </w:r>
          </w:p>
        </w:tc>
        <w:tc>
          <w:tcPr>
            <w:tcW w:w="928"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土地性质</w:t>
            </w:r>
          </w:p>
        </w:tc>
        <w:tc>
          <w:tcPr>
            <w:tcW w:w="1339"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占地面积（亩）</w:t>
            </w:r>
          </w:p>
        </w:tc>
        <w:tc>
          <w:tcPr>
            <w:tcW w:w="8649" w:type="dxa"/>
            <w:shd w:val="clear" w:color="auto" w:fill="E7E6E6" w:themeFill="background2"/>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_GBK" w:hAnsi="方正仿宋_GBK" w:eastAsia="方正仿宋_GBK" w:cs="方正仿宋_GBK"/>
                <w:b/>
                <w:bCs/>
                <w:i w:val="0"/>
                <w:iCs w:val="0"/>
                <w:color w:val="000000"/>
                <w:sz w:val="24"/>
                <w:szCs w:val="24"/>
                <w:highlight w:val="none"/>
                <w:u w:val="none"/>
                <w:lang w:val="en-US" w:eastAsia="zh-CN"/>
              </w:rPr>
            </w:pPr>
            <w:r>
              <w:rPr>
                <w:rFonts w:hint="eastAsia" w:ascii="方正仿宋_GBK" w:hAnsi="方正仿宋_GBK" w:eastAsia="方正仿宋_GBK" w:cs="方正仿宋_GBK"/>
                <w:b/>
                <w:bCs/>
                <w:i w:val="0"/>
                <w:iCs w:val="0"/>
                <w:color w:val="000000"/>
                <w:sz w:val="24"/>
                <w:szCs w:val="24"/>
                <w:highlight w:val="none"/>
                <w:u w:val="none"/>
                <w:lang w:val="en-US" w:eastAsia="zh-CN"/>
              </w:rPr>
              <w:t>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w:t>
            </w:r>
          </w:p>
        </w:tc>
        <w:tc>
          <w:tcPr>
            <w:tcW w:w="72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殡仪设施</w:t>
            </w:r>
          </w:p>
        </w:tc>
        <w:tc>
          <w:tcPr>
            <w:tcW w:w="193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青铜峡市殡仪馆</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5</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位于小坝镇古峡西街以北，距市区1公里，占地面积5亩，完善基础设施建设。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4"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w:t>
            </w:r>
          </w:p>
        </w:tc>
        <w:tc>
          <w:tcPr>
            <w:tcW w:w="721"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193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牛首山殡仪服务中心</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规划</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9</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殡仪服务中心均应编制详细的建设规划，包括总平面图和鸟瞰图，对道路、停车场、绿化及附属设施建设进行详细布置，并申报备案。殡仪服务中心应规划设置行政办公区、综合服务区、吊唁厅、主干道路、停车场、绿化、水利水电等，吊唁厅应设置一大、二中、二小共五个档次不同的吊唁厅，可供用户按需选择。大的掉念厅满足规模较大的家庭使用可容纳200-300人；里面设置较大的灵堂，可容纳规模大的群众举行丧事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4"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3</w:t>
            </w:r>
          </w:p>
        </w:tc>
        <w:tc>
          <w:tcPr>
            <w:tcW w:w="72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西山公墓</w:t>
            </w:r>
          </w:p>
        </w:tc>
        <w:tc>
          <w:tcPr>
            <w:tcW w:w="193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汉民经营性墓区</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1500</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土地使用手续；完善公墓内部基础设施建设，按规范要求布置给水排水设施，严格控制墓穴大小，建设一定比例的骨灰穴和节地生态安葬设施，逐步减少遗体墓穴的建设，努力提高墓区绿化覆盖率。公墓应配置遗物祭品焚烧专用设备。祭奠场所应设置封闭的固体废弃物盛放装置。禁止豪华墓、住宅式墓地、家族式墓地、活人墓、装棺二次葬的现象发生，规范殡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4</w:t>
            </w:r>
          </w:p>
        </w:tc>
        <w:tc>
          <w:tcPr>
            <w:tcW w:w="721"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193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回民公益性墓区</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276</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完善土地使用手续；完善墓区内部道路、绿化等基础设施建设，倡导群众使用可降解的材料，不用硬化地下设施，不留坟头的葬法，鼓励种树，绿化、美化墓区，营造良好的墓园环境，服务于当地回族群众。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8"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5</w:t>
            </w:r>
          </w:p>
        </w:tc>
        <w:tc>
          <w:tcPr>
            <w:tcW w:w="72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牛首山公墓</w:t>
            </w:r>
          </w:p>
        </w:tc>
        <w:tc>
          <w:tcPr>
            <w:tcW w:w="193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汉民经营性墓区</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1000</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土地使用手续，完善公墓内部基础设施建设，严格控制墓穴大小，建设一定比例的骨灰墓穴和节地生态安葬设施，逐步减少遗体墓穴的建设，努力提高墓区绿化覆盖率。公墓应配置遗物祭品焚烧专用设备。祭奠场所应设置封闭的固体废弃物盛放装置并规范殡葬管理。公墓需在墓区等层面加强文化建设，逐步形成富有特色的文化墓区。凭借节地生态安葬设施开展生动活泼的生命文化教育，有利于人们树立正确的生命价值及节地生态安葬的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6</w:t>
            </w:r>
          </w:p>
        </w:tc>
        <w:tc>
          <w:tcPr>
            <w:tcW w:w="721"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193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汉民公益性墓区</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959</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按相关规定完善土地使用手续；近期重点针对墓区现状进行整治，探索采取市场化管理运营，引进民间资本投资建设，新修道路，整理空地，植树绿化，倡导节地安葬，杜绝圈地乱埋乱葬现象。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7</w:t>
            </w:r>
          </w:p>
        </w:tc>
        <w:tc>
          <w:tcPr>
            <w:tcW w:w="721"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193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回民公益性墓区</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627</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是历史形成的墓地。按相关规定完善土地使用手续；近期重点针对墓区现状进行整治，探索采取市场化管理运营，引进民间资本投资建设，新修道路，整理道路，植树绿化，倡导节地安葬，杜绝圈地现象，倡导群众使用可降解的材料，不用硬化地下设施，不留坟头的葬法。服务于当地回族群众及利通区20%的回族群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9" w:hRule="atLeast"/>
          <w:jc w:val="center"/>
        </w:trPr>
        <w:tc>
          <w:tcPr>
            <w:tcW w:w="70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8</w:t>
            </w:r>
          </w:p>
        </w:tc>
        <w:tc>
          <w:tcPr>
            <w:tcW w:w="2655"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铝厂公墓</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1693</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主要服务于铝厂职工及其家属，完善公墓内部道路、环卫、消防等基础设施建设，建设一定比例的骨灰及节地生态安葬墓区。努力改善墓区环境，配置遗物祭品焚烧专用设备。祭奠场所应设置封闭的固体废弃物盛放装置。禁止豪华墓，住宅式墓地、活人墓、装棺二次葬的现象发生，规范殡葬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7" w:hRule="atLeast"/>
          <w:jc w:val="center"/>
        </w:trPr>
        <w:tc>
          <w:tcPr>
            <w:tcW w:w="70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2655"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规划新建带火化的殡仪馆</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规划</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方正仿宋_GBK" w:hAnsi="方正仿宋_GBK" w:eastAsia="方正仿宋_GBK" w:cs="方正仿宋_GBK"/>
                <w:i w:val="0"/>
                <w:iCs w:val="0"/>
                <w:color w:val="000000"/>
                <w:sz w:val="24"/>
                <w:szCs w:val="24"/>
                <w:highlight w:val="none"/>
                <w:u w:val="none"/>
                <w:lang w:val="en-US" w:eastAsia="zh-CN"/>
              </w:rPr>
            </w:pPr>
            <w:r>
              <w:rPr>
                <w:rFonts w:hint="eastAsia" w:ascii="方正仿宋_GBK" w:hAnsi="方正仿宋_GBK" w:eastAsia="方正仿宋_GBK" w:cs="方正仿宋_GBK"/>
                <w:i w:val="0"/>
                <w:iCs w:val="0"/>
                <w:color w:val="000000"/>
                <w:sz w:val="24"/>
                <w:szCs w:val="24"/>
                <w:highlight w:val="none"/>
                <w:u w:val="none"/>
                <w:lang w:val="en-US" w:eastAsia="zh-CN"/>
              </w:rPr>
              <w:t>规划殡仪馆均应编制详细的建设规划，包括业务区、殡仪区、火化区、骨灰寄存区、行政办公区和停车场。殡仪馆各功能分区中各类用房面积比例宜符合相关的规定。</w:t>
            </w:r>
          </w:p>
          <w:p>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default" w:ascii="方正仿宋_GBK" w:hAnsi="方正仿宋_GBK" w:eastAsia="方正仿宋_GBK" w:cs="方正仿宋_GBK"/>
                <w:i w:val="0"/>
                <w:iCs w:val="0"/>
                <w:color w:val="000000"/>
                <w:sz w:val="24"/>
                <w:szCs w:val="24"/>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9" w:hRule="atLeast"/>
          <w:jc w:val="center"/>
        </w:trPr>
        <w:tc>
          <w:tcPr>
            <w:tcW w:w="70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9</w:t>
            </w:r>
          </w:p>
        </w:tc>
        <w:tc>
          <w:tcPr>
            <w:tcW w:w="2655"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臭泉沟公益性公墓</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现状</w:t>
            </w:r>
          </w:p>
        </w:tc>
        <w:tc>
          <w:tcPr>
            <w:tcW w:w="928"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划拨</w:t>
            </w:r>
          </w:p>
        </w:tc>
        <w:tc>
          <w:tcPr>
            <w:tcW w:w="133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w:t>
            </w:r>
          </w:p>
        </w:tc>
        <w:tc>
          <w:tcPr>
            <w:tcW w:w="8649"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该公墓由历史形成，不再扩大用地规模，将墓区进行关闭，不再使用。</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600" w:firstLineChars="200"/>
        <w:textAlignment w:val="auto"/>
        <w:rPr>
          <w:rFonts w:hint="eastAsia" w:ascii="方正仿宋_GBK" w:hAnsi="方正仿宋_GBK" w:eastAsia="方正仿宋_GBK" w:cs="方正仿宋_GBK"/>
          <w:color w:val="auto"/>
          <w:kern w:val="2"/>
          <w:sz w:val="30"/>
          <w:szCs w:val="30"/>
          <w:lang w:val="en-US" w:eastAsia="zh-CN" w:bidi="ar-SA"/>
        </w:rPr>
        <w:sectPr>
          <w:pgSz w:w="16838" w:h="11906" w:orient="landscape"/>
          <w:pgMar w:top="1803" w:right="1440" w:bottom="1803" w:left="1440" w:header="851" w:footer="992" w:gutter="0"/>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附表8  青铜峡市各殡葬设施近期重点建设投资项目建议表</w:t>
      </w:r>
    </w:p>
    <w:tbl>
      <w:tblPr>
        <w:tblStyle w:val="10"/>
        <w:tblW w:w="14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2244"/>
        <w:gridCol w:w="10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3816" w:type="dxa"/>
            <w:gridSpan w:val="2"/>
            <w:shd w:val="clear" w:color="auto" w:fill="E7E6E6" w:themeFill="background2"/>
            <w:vAlign w:val="center"/>
          </w:tcPr>
          <w:p>
            <w:pPr>
              <w:spacing w:line="360" w:lineRule="auto"/>
              <w:jc w:val="center"/>
              <w:rPr>
                <w:rFonts w:hint="eastAsia" w:ascii="仿宋_GB2312" w:hAnsi="仿宋_GB2312" w:eastAsia="仿宋_GB2312" w:cs="仿宋_GB2312"/>
                <w:b/>
                <w:bCs/>
                <w:color w:val="auto"/>
                <w:kern w:val="0"/>
                <w:sz w:val="24"/>
                <w:szCs w:val="24"/>
                <w:lang w:val="en-US" w:eastAsia="zh-CN" w:bidi="ar-SA"/>
              </w:rPr>
            </w:pPr>
            <w:r>
              <w:rPr>
                <w:rFonts w:hint="eastAsia" w:ascii="仿宋_GB2312" w:hAnsi="仿宋_GB2312" w:eastAsia="仿宋_GB2312" w:cs="仿宋_GB2312"/>
                <w:b/>
                <w:bCs/>
                <w:color w:val="auto"/>
                <w:kern w:val="0"/>
                <w:sz w:val="24"/>
                <w:szCs w:val="24"/>
                <w:lang w:val="en-US" w:eastAsia="zh-CN" w:bidi="ar-SA"/>
              </w:rPr>
              <w:t>名称</w:t>
            </w:r>
          </w:p>
        </w:tc>
        <w:tc>
          <w:tcPr>
            <w:tcW w:w="10443" w:type="dxa"/>
            <w:shd w:val="clear" w:color="auto" w:fill="E7E6E6" w:themeFill="background2"/>
            <w:vAlign w:val="center"/>
          </w:tcPr>
          <w:p>
            <w:pPr>
              <w:spacing w:line="360" w:lineRule="auto"/>
              <w:jc w:val="center"/>
              <w:rPr>
                <w:rFonts w:hint="default" w:ascii="仿宋_GB2312" w:hAnsi="仿宋_GB2312" w:eastAsia="仿宋_GB2312" w:cs="仿宋_GB2312"/>
                <w:b/>
                <w:bCs/>
                <w:color w:val="auto"/>
                <w:kern w:val="0"/>
                <w:sz w:val="24"/>
                <w:szCs w:val="24"/>
                <w:lang w:val="en-US" w:eastAsia="zh-CN" w:bidi="ar-SA"/>
              </w:rPr>
            </w:pPr>
            <w:r>
              <w:rPr>
                <w:rFonts w:hint="eastAsia" w:ascii="仿宋_GB2312" w:hAnsi="仿宋_GB2312" w:eastAsia="仿宋_GB2312" w:cs="仿宋_GB2312"/>
                <w:b/>
                <w:bCs/>
                <w:color w:val="auto"/>
                <w:kern w:val="0"/>
                <w:sz w:val="24"/>
                <w:szCs w:val="24"/>
                <w:lang w:val="en-US" w:eastAsia="zh-CN" w:bidi="ar-SA"/>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381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市殡仪馆</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完善公共基础设施，殡葬专用车等设备配置，淘汰落后殡葬服务设备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57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西山公墓</w:t>
            </w:r>
          </w:p>
        </w:tc>
        <w:tc>
          <w:tcPr>
            <w:tcW w:w="224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汉民经营性墓区</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完善公墓用地手续、绿化、上下水管道改造，墓区改善等工程、设置封闭的固体废弃物盛放装置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57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224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回民公益性墓区</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完善公墓用地手续、墓区整治改造，完善基础设施建设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57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牛首山公墓</w:t>
            </w:r>
          </w:p>
        </w:tc>
        <w:tc>
          <w:tcPr>
            <w:tcW w:w="224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汉民经营性墓区</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完善公墓用地手续、完善道路、给排水、停车场、绿化等基础设施建设，配置遗物祭品焚烧专用设备，设置封闭的固体废弃物盛放装置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57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224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汉民公益性墓区</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完善道路、停车场、绿化等基础设施建设，配置遗物祭品焚烧专用设备，设置封闭的固体废弃物盛放装置，明确用地范围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157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p>
        </w:tc>
        <w:tc>
          <w:tcPr>
            <w:tcW w:w="2244"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回民公益性墓区</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完善公墓用地手续、墓区整治改造，完善基础设施建设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2" w:hRule="atLeast"/>
        </w:trPr>
        <w:tc>
          <w:tcPr>
            <w:tcW w:w="381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铝厂公墓</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完善公墓用地手续、墓区整治改造，完善基础设施建设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3816"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臭泉沟公益性公墓</w:t>
            </w:r>
          </w:p>
        </w:tc>
        <w:tc>
          <w:tcPr>
            <w:tcW w:w="10443" w:type="dxa"/>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完善公墓用地手续、不再扩大用地规模，将墓区进行关闭，不再使用</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600" w:firstLineChars="200"/>
        <w:textAlignment w:val="auto"/>
        <w:rPr>
          <w:rFonts w:hint="eastAsia" w:ascii="方正仿宋_GBK" w:hAnsi="方正仿宋_GBK" w:eastAsia="方正仿宋_GBK" w:cs="方正仿宋_GBK"/>
          <w:color w:val="auto"/>
          <w:kern w:val="2"/>
          <w:sz w:val="30"/>
          <w:szCs w:val="30"/>
          <w:lang w:val="en-US" w:eastAsia="zh-CN" w:bidi="ar-SA"/>
        </w:rPr>
      </w:pPr>
    </w:p>
    <w:p>
      <w:pPr>
        <w:rPr>
          <w:rFonts w:hint="eastAsia" w:ascii="方正仿宋_GBK" w:hAnsi="方正仿宋_GBK" w:eastAsia="方正仿宋_GBK" w:cs="方正仿宋_GBK"/>
          <w:color w:val="auto"/>
          <w:kern w:val="2"/>
          <w:sz w:val="32"/>
          <w:szCs w:val="32"/>
          <w:highlight w:val="none"/>
          <w:lang w:val="en-US" w:eastAsia="zh-CN" w:bidi="ar-SA"/>
        </w:rPr>
        <w:sectPr>
          <w:pgSz w:w="16838" w:h="11906" w:orient="landscape"/>
          <w:pgMar w:top="1800" w:right="1440" w:bottom="1800" w:left="1440" w:header="851" w:footer="992" w:gutter="0"/>
          <w:pgNumType w:fmt="decimal"/>
          <w:cols w:space="425" w:num="1"/>
          <w:docGrid w:type="lines" w:linePitch="312" w:charSpace="0"/>
        </w:sectPr>
      </w:pPr>
      <w:r>
        <w:rPr>
          <w:rFonts w:hint="eastAsia" w:ascii="方正仿宋_GBK" w:hAnsi="方正仿宋_GBK" w:eastAsia="方正仿宋_GBK" w:cs="方正仿宋_GBK"/>
          <w:color w:val="auto"/>
          <w:kern w:val="2"/>
          <w:sz w:val="32"/>
          <w:szCs w:val="32"/>
          <w:highlight w:val="none"/>
          <w:lang w:val="en-US" w:eastAsia="zh-CN" w:bidi="ar-SA"/>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bookmarkStart w:id="156" w:name="_Toc4458"/>
      <w:bookmarkStart w:id="157" w:name="_Toc30067"/>
      <w:bookmarkStart w:id="158" w:name="_Toc17370"/>
      <w:r>
        <w:rPr>
          <w:rFonts w:hint="eastAsia" w:ascii="方正小标宋_GBK" w:hAnsi="方正小标宋_GBK" w:eastAsia="方正小标宋_GBK" w:cs="方正小标宋_GBK"/>
          <w:snapToGrid/>
          <w:color w:val="000000"/>
          <w:kern w:val="2"/>
          <w:sz w:val="44"/>
          <w:szCs w:val="44"/>
          <w:lang w:val="en-US" w:eastAsia="zh-CN"/>
        </w:rPr>
        <w:t xml:space="preserve"> 附则</w:t>
      </w:r>
      <w:bookmarkEnd w:id="156"/>
      <w:bookmarkEnd w:id="157"/>
      <w:bookmarkEnd w:id="15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right="0" w:rightChars="0"/>
        <w:jc w:val="both"/>
        <w:textAlignment w:val="auto"/>
        <w:outlineLvl w:val="9"/>
        <w:rPr>
          <w:rFonts w:hint="default" w:ascii="方正小标宋_GBK" w:hAnsi="方正小标宋_GBK" w:eastAsia="方正小标宋_GBK" w:cs="方正小标宋_GBK"/>
          <w:snapToGrid/>
          <w:color w:val="000000"/>
          <w:kern w:val="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一、</w:t>
      </w:r>
      <w:r>
        <w:rPr>
          <w:rFonts w:hint="eastAsia" w:ascii="方正仿宋_GBK" w:hAnsi="方正仿宋_GBK" w:eastAsia="方正仿宋_GBK" w:cs="方正仿宋_GBK"/>
          <w:color w:val="auto"/>
          <w:kern w:val="2"/>
          <w:sz w:val="32"/>
          <w:szCs w:val="32"/>
          <w:lang w:val="en-US" w:eastAsia="zh-CN" w:bidi="ar-SA"/>
        </w:rPr>
        <w:t>本规划经青铜峡市人民政府批准实施；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二、</w:t>
      </w:r>
      <w:r>
        <w:rPr>
          <w:rFonts w:hint="eastAsia" w:ascii="方正仿宋_GBK" w:hAnsi="方正仿宋_GBK" w:eastAsia="方正仿宋_GBK" w:cs="方正仿宋_GBK"/>
          <w:color w:val="auto"/>
          <w:kern w:val="2"/>
          <w:sz w:val="32"/>
          <w:szCs w:val="32"/>
          <w:lang w:val="en-US" w:eastAsia="zh-CN" w:bidi="ar-SA"/>
        </w:rPr>
        <w:t>本规划涉及的土地面积以实测确权后的面积为准；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三、</w:t>
      </w:r>
      <w:r>
        <w:rPr>
          <w:rFonts w:hint="eastAsia" w:ascii="方正仿宋_GBK" w:hAnsi="方正仿宋_GBK" w:eastAsia="方正仿宋_GBK" w:cs="方正仿宋_GBK"/>
          <w:color w:val="auto"/>
          <w:kern w:val="2"/>
          <w:sz w:val="32"/>
          <w:szCs w:val="32"/>
          <w:lang w:val="en-US" w:eastAsia="zh-CN" w:bidi="ar-SA"/>
        </w:rPr>
        <w:t>本规划由青铜峡市人民政府负责解释。</w:t>
      </w:r>
    </w:p>
    <w:p>
      <w:pPr>
        <w:pStyle w:val="2"/>
        <w:keepNext w:val="0"/>
        <w:keepLines w:val="0"/>
        <w:pageBreakBefore w:val="0"/>
        <w:widowControl w:val="0"/>
        <w:numPr>
          <w:ilvl w:val="0"/>
          <w:numId w:val="0"/>
        </w:numPr>
        <w:kinsoku/>
        <w:wordWrap/>
        <w:overflowPunct/>
        <w:topLinePunct w:val="0"/>
        <w:autoSpaceDE/>
        <w:autoSpaceDN/>
        <w:bidi w:val="0"/>
        <w:adjustRightInd/>
        <w:spacing w:after="0" w:afterLines="0" w:afterAutospacing="0" w:line="360" w:lineRule="auto"/>
        <w:jc w:val="both"/>
        <w:rPr>
          <w:rFonts w:hint="eastAsia"/>
          <w:color w:val="auto"/>
          <w:sz w:val="32"/>
          <w:szCs w:val="32"/>
          <w:lang w:val="en-US" w:eastAsia="zh-CN"/>
        </w:rPr>
      </w:pPr>
    </w:p>
    <w:p>
      <w:pPr>
        <w:rPr>
          <w:rFonts w:hint="eastAsia" w:ascii="方正仿宋_GBK" w:hAnsi="方正仿宋_GBK" w:eastAsia="方正仿宋_GBK" w:cs="方正仿宋_GBK"/>
          <w:color w:val="auto"/>
          <w:kern w:val="2"/>
          <w:sz w:val="32"/>
          <w:szCs w:val="32"/>
          <w:highlight w:val="none"/>
          <w:lang w:val="en-US" w:eastAsia="zh-CN" w:bidi="ar-SA"/>
        </w:rPr>
      </w:pPr>
      <w:r>
        <w:rPr>
          <w:rFonts w:hint="eastAsia" w:ascii="方正仿宋_GBK" w:hAnsi="方正仿宋_GBK" w:eastAsia="方正仿宋_GBK" w:cs="方正仿宋_GBK"/>
          <w:color w:val="auto"/>
          <w:kern w:val="2"/>
          <w:sz w:val="32"/>
          <w:szCs w:val="32"/>
          <w:highlight w:val="none"/>
          <w:lang w:val="en-US" w:eastAsia="zh-CN" w:bidi="ar-SA"/>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napToGrid/>
          <w:color w:val="000000"/>
          <w:kern w:val="2"/>
          <w:sz w:val="44"/>
          <w:szCs w:val="44"/>
          <w:lang w:val="en-US" w:eastAsia="zh-CN"/>
        </w:rPr>
      </w:pPr>
      <w:bookmarkStart w:id="159" w:name="_Toc20930"/>
      <w:bookmarkStart w:id="160" w:name="_Toc31696"/>
      <w:bookmarkStart w:id="161" w:name="_Toc25755"/>
      <w:bookmarkStart w:id="162" w:name="_Toc18878"/>
      <w:bookmarkStart w:id="163" w:name="_Toc10227"/>
      <w:r>
        <w:rPr>
          <w:rFonts w:hint="eastAsia" w:ascii="方正小标宋_GBK" w:hAnsi="方正小标宋_GBK" w:eastAsia="方正小标宋_GBK" w:cs="方正小标宋_GBK"/>
          <w:snapToGrid/>
          <w:color w:val="000000"/>
          <w:kern w:val="2"/>
          <w:sz w:val="44"/>
          <w:szCs w:val="44"/>
          <w:lang w:val="en-US" w:eastAsia="zh-CN"/>
        </w:rPr>
        <w:t>附图</w:t>
      </w:r>
      <w:bookmarkEnd w:id="159"/>
      <w:bookmarkEnd w:id="160"/>
      <w:bookmarkEnd w:id="161"/>
      <w:bookmarkEnd w:id="162"/>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Chars="0" w:right="0" w:rightChars="0"/>
        <w:jc w:val="both"/>
        <w:textAlignment w:val="auto"/>
        <w:outlineLvl w:val="9"/>
        <w:rPr>
          <w:rFonts w:hint="default" w:ascii="方正小标宋_GBK" w:hAnsi="方正小标宋_GBK" w:eastAsia="方正小标宋_GBK" w:cs="方正小标宋_GBK"/>
          <w:snapToGrid/>
          <w:color w:val="000000"/>
          <w:kern w:val="2"/>
          <w:sz w:val="44"/>
          <w:szCs w:val="44"/>
          <w:lang w:val="en-US" w:eastAsia="zh-CN"/>
        </w:rPr>
      </w:pPr>
    </w:p>
    <w:bookmarkEnd w:id="163"/>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64" w:name="_Toc9516"/>
      <w:r>
        <w:rPr>
          <w:rFonts w:hint="eastAsia" w:ascii="方正仿宋_GBK" w:hAnsi="方正仿宋_GBK" w:eastAsia="方正仿宋_GBK" w:cs="方正仿宋_GBK"/>
          <w:i w:val="0"/>
          <w:iCs w:val="0"/>
          <w:color w:val="000000"/>
          <w:sz w:val="32"/>
          <w:szCs w:val="32"/>
          <w:u w:val="none"/>
          <w:lang w:val="en-US" w:eastAsia="zh-CN"/>
        </w:rPr>
        <w:t>附图1：公墓位置示意图</w:t>
      </w:r>
      <w:bookmarkEnd w:id="164"/>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方正仿宋_GBK" w:hAnsi="方正仿宋_GBK" w:eastAsia="方正仿宋_GBK" w:cs="方正仿宋_GBK"/>
          <w:i w:val="0"/>
          <w:iCs w:val="0"/>
          <w:color w:val="000000"/>
          <w:sz w:val="32"/>
          <w:szCs w:val="32"/>
          <w:u w:val="none"/>
          <w:lang w:val="en-US" w:eastAsia="zh-CN"/>
        </w:rPr>
      </w:pPr>
      <w:bookmarkStart w:id="165" w:name="_Toc20397"/>
      <w:r>
        <w:rPr>
          <w:rFonts w:hint="eastAsia" w:ascii="方正仿宋_GBK" w:hAnsi="方正仿宋_GBK" w:eastAsia="方正仿宋_GBK" w:cs="方正仿宋_GBK"/>
          <w:i w:val="0"/>
          <w:iCs w:val="0"/>
          <w:color w:val="000000"/>
          <w:sz w:val="32"/>
          <w:szCs w:val="32"/>
          <w:u w:val="none"/>
          <w:lang w:val="en-US" w:eastAsia="zh-CN"/>
        </w:rPr>
        <w:t>附图2：殡仪服务设施位置示意图</w:t>
      </w:r>
      <w:bookmarkEnd w:id="165"/>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66" w:name="_Toc16859"/>
      <w:bookmarkStart w:id="167" w:name="_Toc8193"/>
      <w:r>
        <w:rPr>
          <w:rFonts w:hint="eastAsia" w:ascii="方正仿宋_GBK" w:hAnsi="方正仿宋_GBK" w:eastAsia="方正仿宋_GBK" w:cs="方正仿宋_GBK"/>
          <w:i w:val="0"/>
          <w:iCs w:val="0"/>
          <w:color w:val="000000"/>
          <w:sz w:val="32"/>
          <w:szCs w:val="32"/>
          <w:u w:val="none"/>
          <w:lang w:val="en-US" w:eastAsia="zh-CN"/>
        </w:rPr>
        <w:t>附图3：西山公墓现状图</w:t>
      </w:r>
      <w:bookmarkEnd w:id="166"/>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68" w:name="_Toc687"/>
      <w:r>
        <w:rPr>
          <w:rFonts w:hint="eastAsia" w:ascii="方正仿宋_GBK" w:hAnsi="方正仿宋_GBK" w:eastAsia="方正仿宋_GBK" w:cs="方正仿宋_GBK"/>
          <w:i w:val="0"/>
          <w:iCs w:val="0"/>
          <w:color w:val="000000"/>
          <w:sz w:val="32"/>
          <w:szCs w:val="32"/>
          <w:u w:val="none"/>
          <w:lang w:val="en-US" w:eastAsia="zh-CN"/>
        </w:rPr>
        <w:t>附图4：牛首山公墓现状图</w:t>
      </w:r>
      <w:bookmarkEnd w:id="168"/>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69" w:name="_Toc29896"/>
      <w:r>
        <w:rPr>
          <w:rFonts w:hint="eastAsia" w:ascii="方正仿宋_GBK" w:hAnsi="方正仿宋_GBK" w:eastAsia="方正仿宋_GBK" w:cs="方正仿宋_GBK"/>
          <w:i w:val="0"/>
          <w:iCs w:val="0"/>
          <w:color w:val="000000"/>
          <w:sz w:val="32"/>
          <w:szCs w:val="32"/>
          <w:u w:val="none"/>
          <w:lang w:val="en-US" w:eastAsia="zh-CN"/>
        </w:rPr>
        <w:t>附图5：铝厂公墓现状图</w:t>
      </w:r>
      <w:bookmarkEnd w:id="169"/>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方正仿宋_GBK" w:hAnsi="方正仿宋_GBK" w:eastAsia="方正仿宋_GBK" w:cs="方正仿宋_GBK"/>
          <w:i w:val="0"/>
          <w:iCs w:val="0"/>
          <w:color w:val="000000"/>
          <w:sz w:val="32"/>
          <w:szCs w:val="32"/>
          <w:u w:val="none"/>
          <w:lang w:val="en-US" w:eastAsia="zh-CN"/>
        </w:rPr>
      </w:pPr>
      <w:bookmarkStart w:id="170" w:name="_Toc20658"/>
      <w:r>
        <w:rPr>
          <w:rFonts w:hint="eastAsia" w:ascii="方正仿宋_GBK" w:hAnsi="方正仿宋_GBK" w:eastAsia="方正仿宋_GBK" w:cs="方正仿宋_GBK"/>
          <w:i w:val="0"/>
          <w:iCs w:val="0"/>
          <w:color w:val="000000"/>
          <w:sz w:val="32"/>
          <w:szCs w:val="32"/>
          <w:u w:val="none"/>
          <w:lang w:val="en-US" w:eastAsia="zh-CN"/>
        </w:rPr>
        <w:t>附图6：臭泉沟公益性公墓现状图</w:t>
      </w:r>
      <w:bookmarkEnd w:id="170"/>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方正仿宋_GBK" w:hAnsi="方正仿宋_GBK" w:eastAsia="方正仿宋_GBK" w:cs="方正仿宋_GBK"/>
          <w:i w:val="0"/>
          <w:iCs w:val="0"/>
          <w:color w:val="000000"/>
          <w:sz w:val="32"/>
          <w:szCs w:val="32"/>
          <w:u w:val="none"/>
          <w:lang w:val="en-US" w:eastAsia="zh-CN"/>
        </w:rPr>
      </w:pPr>
      <w:bookmarkStart w:id="171" w:name="_Toc30339"/>
      <w:r>
        <w:rPr>
          <w:rFonts w:hint="eastAsia" w:ascii="方正仿宋_GBK" w:hAnsi="方正仿宋_GBK" w:eastAsia="方正仿宋_GBK" w:cs="方正仿宋_GBK"/>
          <w:i w:val="0"/>
          <w:iCs w:val="0"/>
          <w:color w:val="000000"/>
          <w:sz w:val="32"/>
          <w:szCs w:val="32"/>
          <w:u w:val="none"/>
          <w:lang w:val="en-US" w:eastAsia="zh-CN"/>
        </w:rPr>
        <w:t>附图7：青铜峡市殡仪馆现状图</w:t>
      </w:r>
      <w:bookmarkEnd w:id="171"/>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72" w:name="_Toc10201"/>
      <w:r>
        <w:rPr>
          <w:rFonts w:hint="eastAsia" w:ascii="方正仿宋_GBK" w:hAnsi="方正仿宋_GBK" w:eastAsia="方正仿宋_GBK" w:cs="方正仿宋_GBK"/>
          <w:i w:val="0"/>
          <w:iCs w:val="0"/>
          <w:color w:val="000000"/>
          <w:sz w:val="32"/>
          <w:szCs w:val="32"/>
          <w:u w:val="none"/>
          <w:lang w:val="en-US" w:eastAsia="zh-CN"/>
        </w:rPr>
        <w:t>附图8：青铜峡市土地利用现状图</w:t>
      </w:r>
      <w:bookmarkEnd w:id="172"/>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73" w:name="_Toc32045"/>
      <w:r>
        <w:rPr>
          <w:rFonts w:hint="eastAsia" w:ascii="方正仿宋_GBK" w:hAnsi="方正仿宋_GBK" w:eastAsia="方正仿宋_GBK" w:cs="方正仿宋_GBK"/>
          <w:i w:val="0"/>
          <w:iCs w:val="0"/>
          <w:color w:val="000000"/>
          <w:sz w:val="32"/>
          <w:szCs w:val="32"/>
          <w:u w:val="none"/>
          <w:lang w:val="en-US" w:eastAsia="zh-CN"/>
        </w:rPr>
        <w:t>附图9：西山公墓土地利用现状图</w:t>
      </w:r>
      <w:bookmarkEnd w:id="173"/>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74" w:name="_Toc3103"/>
      <w:r>
        <w:rPr>
          <w:rFonts w:hint="eastAsia" w:ascii="方正仿宋_GBK" w:hAnsi="方正仿宋_GBK" w:eastAsia="方正仿宋_GBK" w:cs="方正仿宋_GBK"/>
          <w:i w:val="0"/>
          <w:iCs w:val="0"/>
          <w:color w:val="000000"/>
          <w:sz w:val="32"/>
          <w:szCs w:val="32"/>
          <w:u w:val="none"/>
          <w:lang w:val="en-US" w:eastAsia="zh-CN"/>
        </w:rPr>
        <w:t>附图10：牛首山公墓土地利用现状图</w:t>
      </w:r>
      <w:bookmarkEnd w:id="174"/>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方正仿宋_GBK" w:hAnsi="方正仿宋_GBK" w:eastAsia="方正仿宋_GBK" w:cs="方正仿宋_GBK"/>
          <w:i w:val="0"/>
          <w:iCs w:val="0"/>
          <w:color w:val="000000"/>
          <w:sz w:val="32"/>
          <w:szCs w:val="32"/>
          <w:u w:val="none"/>
          <w:lang w:val="en-US" w:eastAsia="zh-CN"/>
        </w:rPr>
      </w:pPr>
      <w:bookmarkStart w:id="175" w:name="_Toc4526"/>
      <w:r>
        <w:rPr>
          <w:rFonts w:hint="eastAsia" w:ascii="方正仿宋_GBK" w:hAnsi="方正仿宋_GBK" w:eastAsia="方正仿宋_GBK" w:cs="方正仿宋_GBK"/>
          <w:i w:val="0"/>
          <w:iCs w:val="0"/>
          <w:color w:val="000000"/>
          <w:sz w:val="32"/>
          <w:szCs w:val="32"/>
          <w:u w:val="none"/>
          <w:lang w:val="en-US" w:eastAsia="zh-CN"/>
        </w:rPr>
        <w:t>附图11：铝厂公墓土地利用现状图</w:t>
      </w:r>
      <w:bookmarkEnd w:id="175"/>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76" w:name="_Toc3135"/>
      <w:r>
        <w:rPr>
          <w:rFonts w:hint="eastAsia" w:ascii="方正仿宋_GBK" w:hAnsi="方正仿宋_GBK" w:eastAsia="方正仿宋_GBK" w:cs="方正仿宋_GBK"/>
          <w:i w:val="0"/>
          <w:iCs w:val="0"/>
          <w:color w:val="000000"/>
          <w:sz w:val="32"/>
          <w:szCs w:val="32"/>
          <w:u w:val="none"/>
          <w:lang w:val="en-US" w:eastAsia="zh-CN"/>
        </w:rPr>
        <w:t>附图12：臭泉沟公益性公墓土地利用现状图</w:t>
      </w:r>
      <w:bookmarkEnd w:id="176"/>
      <w:bookmarkStart w:id="177" w:name="_Toc19236"/>
    </w:p>
    <w:bookmarkEnd w:id="167"/>
    <w:bookmarkEnd w:id="177"/>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default" w:ascii="方正仿宋_GBK" w:hAnsi="方正仿宋_GBK" w:eastAsia="方正仿宋_GBK" w:cs="方正仿宋_GBK"/>
          <w:i w:val="0"/>
          <w:iCs w:val="0"/>
          <w:color w:val="000000"/>
          <w:sz w:val="32"/>
          <w:szCs w:val="32"/>
          <w:u w:val="none"/>
          <w:lang w:val="en-US" w:eastAsia="zh-CN"/>
        </w:rPr>
      </w:pPr>
      <w:bookmarkStart w:id="178" w:name="_Toc3792"/>
      <w:r>
        <w:rPr>
          <w:rFonts w:hint="eastAsia" w:ascii="方正仿宋_GBK" w:hAnsi="方正仿宋_GBK" w:eastAsia="方正仿宋_GBK" w:cs="方正仿宋_GBK"/>
          <w:i w:val="0"/>
          <w:iCs w:val="0"/>
          <w:color w:val="000000"/>
          <w:sz w:val="32"/>
          <w:szCs w:val="32"/>
          <w:u w:val="none"/>
          <w:lang w:val="en-US" w:eastAsia="zh-CN"/>
        </w:rPr>
        <w:t>附图13: 西山公墓汉民经营性墓区近期5年用地规划范围图</w:t>
      </w:r>
      <w:bookmarkEnd w:id="178"/>
      <w:r>
        <w:rPr>
          <w:rFonts w:hint="eastAsia" w:ascii="方正仿宋_GBK" w:hAnsi="方正仿宋_GBK" w:eastAsia="方正仿宋_GBK" w:cs="方正仿宋_GBK"/>
          <w:i w:val="0"/>
          <w:iCs w:val="0"/>
          <w:color w:val="000000"/>
          <w:sz w:val="32"/>
          <w:szCs w:val="32"/>
          <w:u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79" w:name="_Toc18395"/>
      <w:r>
        <w:rPr>
          <w:rFonts w:hint="eastAsia" w:ascii="方正仿宋_GBK" w:hAnsi="方正仿宋_GBK" w:eastAsia="方正仿宋_GBK" w:cs="方正仿宋_GBK"/>
          <w:i w:val="0"/>
          <w:iCs w:val="0"/>
          <w:color w:val="000000"/>
          <w:sz w:val="32"/>
          <w:szCs w:val="32"/>
          <w:u w:val="none"/>
          <w:lang w:val="en-US" w:eastAsia="zh-CN"/>
        </w:rPr>
        <w:t>附图14：西山公墓回民公益性墓区近期5年用地规划范围图</w:t>
      </w:r>
      <w:bookmarkEnd w:id="179"/>
      <w:r>
        <w:rPr>
          <w:rFonts w:hint="eastAsia" w:ascii="方正仿宋_GBK" w:hAnsi="方正仿宋_GBK" w:eastAsia="方正仿宋_GBK" w:cs="方正仿宋_GBK"/>
          <w:i w:val="0"/>
          <w:iCs w:val="0"/>
          <w:color w:val="000000"/>
          <w:sz w:val="32"/>
          <w:szCs w:val="32"/>
          <w:u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pacing w:val="-11"/>
          <w:sz w:val="32"/>
          <w:szCs w:val="32"/>
          <w:u w:val="none"/>
          <w:lang w:val="en-US" w:eastAsia="zh-CN"/>
        </w:rPr>
      </w:pPr>
      <w:bookmarkStart w:id="180" w:name="_Toc16698"/>
      <w:r>
        <w:rPr>
          <w:rFonts w:hint="eastAsia" w:ascii="方正仿宋_GBK" w:hAnsi="方正仿宋_GBK" w:eastAsia="方正仿宋_GBK" w:cs="方正仿宋_GBK"/>
          <w:i w:val="0"/>
          <w:iCs w:val="0"/>
          <w:color w:val="000000"/>
          <w:spacing w:val="-11"/>
          <w:sz w:val="32"/>
          <w:szCs w:val="32"/>
          <w:u w:val="none"/>
          <w:lang w:val="en-US" w:eastAsia="zh-CN"/>
        </w:rPr>
        <w:t>附图15：牛首山公墓汉民公益性墓区近期5年用地规划范围图</w:t>
      </w:r>
      <w:bookmarkEnd w:id="180"/>
      <w:r>
        <w:rPr>
          <w:rFonts w:hint="eastAsia" w:ascii="方正仿宋_GBK" w:hAnsi="方正仿宋_GBK" w:eastAsia="方正仿宋_GBK" w:cs="方正仿宋_GBK"/>
          <w:i w:val="0"/>
          <w:iCs w:val="0"/>
          <w:color w:val="000000"/>
          <w:spacing w:val="-11"/>
          <w:sz w:val="32"/>
          <w:szCs w:val="32"/>
          <w:u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pacing w:val="-11"/>
          <w:sz w:val="32"/>
          <w:szCs w:val="32"/>
          <w:u w:val="none"/>
          <w:lang w:val="en-US" w:eastAsia="zh-CN"/>
        </w:rPr>
      </w:pPr>
      <w:bookmarkStart w:id="181" w:name="_Toc30539"/>
      <w:r>
        <w:rPr>
          <w:rFonts w:hint="eastAsia" w:ascii="方正仿宋_GBK" w:hAnsi="方正仿宋_GBK" w:eastAsia="方正仿宋_GBK" w:cs="方正仿宋_GBK"/>
          <w:i w:val="0"/>
          <w:iCs w:val="0"/>
          <w:color w:val="000000"/>
          <w:spacing w:val="-11"/>
          <w:sz w:val="32"/>
          <w:szCs w:val="32"/>
          <w:u w:val="none"/>
          <w:lang w:val="en-US" w:eastAsia="zh-CN"/>
        </w:rPr>
        <w:t>附图16：牛首山公墓汉民经营性墓区近期5年用地规划范围图</w:t>
      </w:r>
      <w:bookmarkEnd w:id="181"/>
      <w:r>
        <w:rPr>
          <w:rFonts w:hint="eastAsia" w:ascii="方正仿宋_GBK" w:hAnsi="方正仿宋_GBK" w:eastAsia="方正仿宋_GBK" w:cs="方正仿宋_GBK"/>
          <w:i w:val="0"/>
          <w:iCs w:val="0"/>
          <w:color w:val="000000"/>
          <w:spacing w:val="-11"/>
          <w:sz w:val="32"/>
          <w:szCs w:val="32"/>
          <w:u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pacing w:val="-11"/>
          <w:sz w:val="32"/>
          <w:szCs w:val="32"/>
          <w:u w:val="none"/>
          <w:lang w:val="en-US" w:eastAsia="zh-CN"/>
        </w:rPr>
      </w:pPr>
      <w:bookmarkStart w:id="182" w:name="_Toc32633"/>
      <w:r>
        <w:rPr>
          <w:rFonts w:hint="eastAsia" w:ascii="方正仿宋_GBK" w:hAnsi="方正仿宋_GBK" w:eastAsia="方正仿宋_GBK" w:cs="方正仿宋_GBK"/>
          <w:i w:val="0"/>
          <w:iCs w:val="0"/>
          <w:color w:val="000000"/>
          <w:spacing w:val="-11"/>
          <w:sz w:val="32"/>
          <w:szCs w:val="32"/>
          <w:u w:val="none"/>
          <w:lang w:val="en-US" w:eastAsia="zh-CN"/>
        </w:rPr>
        <w:t>附图17：牛首山公墓回民公益性墓区近期5年用地规划范围图</w:t>
      </w:r>
      <w:bookmarkEnd w:id="182"/>
      <w:r>
        <w:rPr>
          <w:rFonts w:hint="eastAsia" w:ascii="方正仿宋_GBK" w:hAnsi="方正仿宋_GBK" w:eastAsia="方正仿宋_GBK" w:cs="方正仿宋_GBK"/>
          <w:i w:val="0"/>
          <w:iCs w:val="0"/>
          <w:color w:val="000000"/>
          <w:spacing w:val="-11"/>
          <w:sz w:val="32"/>
          <w:szCs w:val="32"/>
          <w:u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center"/>
        <w:rPr>
          <w:rFonts w:hint="eastAsia" w:ascii="方正仿宋_GBK" w:hAnsi="方正仿宋_GBK" w:eastAsia="方正仿宋_GBK" w:cs="方正仿宋_GBK"/>
          <w:i w:val="0"/>
          <w:iCs w:val="0"/>
          <w:color w:val="000000"/>
          <w:sz w:val="32"/>
          <w:szCs w:val="32"/>
          <w:u w:val="none"/>
          <w:lang w:val="en-US" w:eastAsia="zh-CN"/>
        </w:rPr>
      </w:pPr>
      <w:bookmarkStart w:id="183" w:name="_Toc29947"/>
      <w:r>
        <w:rPr>
          <w:rFonts w:hint="eastAsia" w:ascii="方正仿宋_GBK" w:hAnsi="方正仿宋_GBK" w:eastAsia="方正仿宋_GBK" w:cs="方正仿宋_GBK"/>
          <w:i w:val="0"/>
          <w:iCs w:val="0"/>
          <w:color w:val="000000"/>
          <w:sz w:val="32"/>
          <w:szCs w:val="32"/>
          <w:u w:val="none"/>
          <w:lang w:val="en-US" w:eastAsia="zh-CN"/>
        </w:rPr>
        <w:t>附图18：铝厂公墓近期5年用地规划范围图</w:t>
      </w:r>
      <w:bookmarkEnd w:id="183"/>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方正仿宋_GBK" w:hAnsi="方正仿宋_GBK" w:eastAsia="方正仿宋_GBK" w:cs="方正仿宋_GBK"/>
          <w:i w:val="0"/>
          <w:iCs w:val="0"/>
          <w:color w:val="000000"/>
          <w:sz w:val="24"/>
          <w:szCs w:val="24"/>
          <w:u w:val="none"/>
          <w:lang w:val="en-US" w:eastAsia="zh-CN"/>
        </w:rPr>
      </w:pPr>
    </w:p>
    <w:sectPr>
      <w:pgSz w:w="11906"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汉仪中黑简">
    <w:altName w:val="黑体"/>
    <w:panose1 w:val="02010609000101010101"/>
    <w:charset w:val="86"/>
    <w:family w:val="auto"/>
    <w:pitch w:val="default"/>
    <w:sig w:usb0="00000000" w:usb1="00000000" w:usb2="00000002"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1056"/>
        <w:tab w:val="clear" w:pos="4153"/>
      </w:tabs>
      <w:rPr>
        <w:rFonts w:hint="eastAsia" w:ascii="汉仪中黑简" w:hAnsi="汉仪中黑简" w:eastAsia="汉仪中黑简" w:cs="汉仪中黑简"/>
        <w:sz w:val="18"/>
        <w:szCs w:val="18"/>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1056"/>
        <w:tab w:val="clear" w:pos="4153"/>
      </w:tabs>
      <w:rPr>
        <w:rFonts w:hint="eastAsia" w:ascii="汉仪中黑简" w:hAnsi="汉仪中黑简" w:eastAsia="汉仪中黑简" w:cs="汉仪中黑简"/>
        <w:sz w:val="30"/>
        <w:szCs w:val="30"/>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B32767"/>
    <w:multiLevelType w:val="singleLevel"/>
    <w:tmpl w:val="D5B32767"/>
    <w:lvl w:ilvl="0" w:tentative="0">
      <w:start w:val="2"/>
      <w:numFmt w:val="chineseCounting"/>
      <w:suff w:val="space"/>
      <w:lvlText w:val="第%1章"/>
      <w:lvlJc w:val="left"/>
      <w:rPr>
        <w:rFonts w:hint="eastAsia"/>
      </w:rPr>
    </w:lvl>
  </w:abstractNum>
  <w:abstractNum w:abstractNumId="1">
    <w:nsid w:val="2C646365"/>
    <w:multiLevelType w:val="singleLevel"/>
    <w:tmpl w:val="2C646365"/>
    <w:lvl w:ilvl="0" w:tentative="0">
      <w:start w:val="1"/>
      <w:numFmt w:val="chineseCounting"/>
      <w:suff w:val="space"/>
      <w:lvlText w:val="第%1章"/>
      <w:lvlJc w:val="left"/>
      <w:rPr>
        <w:rFonts w:hint="eastAsia"/>
      </w:rPr>
    </w:lvl>
  </w:abstractNum>
  <w:abstractNum w:abstractNumId="2">
    <w:nsid w:val="483984C3"/>
    <w:multiLevelType w:val="singleLevel"/>
    <w:tmpl w:val="483984C3"/>
    <w:lvl w:ilvl="0" w:tentative="0">
      <w:start w:val="4"/>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0YTVlNjZlM2NjODI1YTcyMTY4NGJjZDQyOWY1ZTcifQ=="/>
  </w:docVars>
  <w:rsids>
    <w:rsidRoot w:val="4ECF5F9C"/>
    <w:rsid w:val="01441D99"/>
    <w:rsid w:val="0E897ADD"/>
    <w:rsid w:val="129B256D"/>
    <w:rsid w:val="13DA2CA4"/>
    <w:rsid w:val="1A235904"/>
    <w:rsid w:val="1C4E3CDB"/>
    <w:rsid w:val="1C6A0D04"/>
    <w:rsid w:val="2AC1064E"/>
    <w:rsid w:val="391C6C2C"/>
    <w:rsid w:val="3EFA6EDE"/>
    <w:rsid w:val="3F7201B6"/>
    <w:rsid w:val="486F53BE"/>
    <w:rsid w:val="4A53096F"/>
    <w:rsid w:val="4ECF5F9C"/>
    <w:rsid w:val="57216B71"/>
    <w:rsid w:val="60F06BE3"/>
    <w:rsid w:val="63E5486A"/>
    <w:rsid w:val="696D39DD"/>
    <w:rsid w:val="6FC1075F"/>
    <w:rsid w:val="6FC61262"/>
    <w:rsid w:val="70D127A3"/>
    <w:rsid w:val="71F377F8"/>
    <w:rsid w:val="75331FB3"/>
    <w:rsid w:val="76520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Plain Text"/>
    <w:basedOn w:val="1"/>
    <w:qFormat/>
    <w:uiPriority w:val="0"/>
    <w:rPr>
      <w:rFonts w:ascii="宋体" w:hAnsi="Courier New"/>
    </w:rPr>
  </w:style>
  <w:style w:type="paragraph" w:styleId="4">
    <w:name w:val="footer"/>
    <w:basedOn w:val="1"/>
    <w:next w:val="5"/>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eastAsia="宋体"/>
      <w:sz w:val="18"/>
      <w:szCs w:val="18"/>
    </w:rPr>
  </w:style>
  <w:style w:type="paragraph" w:styleId="6">
    <w:name w:val="toc 2"/>
    <w:basedOn w:val="1"/>
    <w:next w:val="1"/>
    <w:qFormat/>
    <w:uiPriority w:val="0"/>
    <w:pPr>
      <w:tabs>
        <w:tab w:val="right" w:leader="dot" w:pos="8296"/>
      </w:tabs>
      <w:spacing w:line="360" w:lineRule="auto"/>
      <w:ind w:left="420" w:leftChars="200"/>
      <w:contextualSpacing/>
    </w:pPr>
    <w:rPr>
      <w:sz w:val="24"/>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NormalCharacter"/>
    <w:qFormat/>
    <w:uiPriority w:val="0"/>
  </w:style>
  <w:style w:type="character" w:customStyle="1" w:styleId="12">
    <w:name w:val="font21"/>
    <w:basedOn w:val="8"/>
    <w:qFormat/>
    <w:uiPriority w:val="0"/>
    <w:rPr>
      <w:rFonts w:hint="default" w:ascii="仿宋_GB2312" w:eastAsia="仿宋_GB2312" w:cs="仿宋_GB2312"/>
      <w:color w:val="000000"/>
      <w:sz w:val="24"/>
      <w:szCs w:val="24"/>
      <w:u w:val="none"/>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2023-11-21T10:44:00Z</dcterms:created>
  <dc:creator>WPS_1474878981</dc:creator>
  <cp:lastModifiedBy>Administrator</cp:lastModifiedBy>
  <cp:lastPrinted>2024-02-01T06:20:00Z</cp:lastPrinted>
  <dcterms:modified xsi:type="dcterms:W3CDTF">2024-03-13T07:02:35Z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y fmtid="{D5CDD505-2E9C-101B-9397-08002B2CF9AE}" pid="3" name="ICV">
    <vt:lpwstr>E89894098A784DD1A115317BC43374BF_13</vt:lpwstr>
  </property>
</Properties>
</file>