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BB745">
      <w:pPr>
        <w:pStyle w:val="5"/>
        <w:spacing w:before="0" w:after="0" w:line="400" w:lineRule="exact"/>
        <w:jc w:val="both"/>
        <w:rPr>
          <w:rFonts w:ascii="仿宋_GB2312" w:hAnsi="仿宋_GB2312" w:eastAsia="方正仿宋_GBK" w:cs="仿宋_GB2312"/>
          <w:b w:val="0"/>
          <w:kern w:val="0"/>
          <w:sz w:val="32"/>
          <w:szCs w:val="32"/>
          <w:lang w:val="en-US" w:eastAsia="zh-CN"/>
        </w:rPr>
      </w:pPr>
      <w:bookmarkStart w:id="0" w:name="_GoBack"/>
      <w:bookmarkEnd w:id="0"/>
      <w:r>
        <w:rPr>
          <w:rFonts w:hint="eastAsia" w:ascii="仿宋_GB2312" w:hAnsi="仿宋_GB2312" w:eastAsia="方正仿宋_GBK" w:cs="仿宋_GB2312"/>
          <w:b w:val="0"/>
          <w:kern w:val="0"/>
          <w:sz w:val="32"/>
          <w:szCs w:val="32"/>
          <w:lang w:val="en-US" w:eastAsia="zh-CN"/>
        </w:rPr>
        <w:t xml:space="preserve">附件1                  </w:t>
      </w:r>
    </w:p>
    <w:p w14:paraId="3E6FEDA1">
      <w:pPr>
        <w:pStyle w:val="5"/>
        <w:spacing w:before="0" w:after="0" w:line="560" w:lineRule="exact"/>
        <w:jc w:val="center"/>
        <w:rPr>
          <w:rFonts w:ascii="仿宋_GB2312" w:hAnsi="仿宋_GB2312" w:eastAsia="方正仿宋_GBK" w:cs="仿宋_GB2312"/>
          <w:b w:val="0"/>
          <w:kern w:val="0"/>
        </w:rPr>
      </w:pPr>
      <w:r>
        <w:rPr>
          <w:rFonts w:hint="eastAsia" w:ascii="方正小标宋_GBK" w:hAnsi="方正小标宋_GBK" w:eastAsia="方正小标宋_GBK" w:cs="方正小标宋_GBK"/>
          <w:b w:val="0"/>
          <w:bCs/>
          <w:sz w:val="44"/>
          <w:szCs w:val="44"/>
          <w:lang w:val="en-US" w:eastAsia="zh-CN"/>
        </w:rPr>
        <w:t xml:space="preserve">遴 选 </w:t>
      </w:r>
      <w:r>
        <w:rPr>
          <w:rFonts w:hint="eastAsia" w:ascii="方正小标宋_GBK" w:hAnsi="方正小标宋_GBK" w:eastAsia="方正小标宋_GBK" w:cs="方正小标宋_GBK"/>
          <w:b w:val="0"/>
          <w:bCs/>
          <w:sz w:val="44"/>
          <w:szCs w:val="44"/>
        </w:rPr>
        <w:t>函</w:t>
      </w:r>
    </w:p>
    <w:p w14:paraId="6962CCCA">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方正仿宋_GBK" w:cs="仿宋_GB2312"/>
          <w:sz w:val="32"/>
          <w:szCs w:val="32"/>
          <w:u w:val="single"/>
          <w:lang w:eastAsia="zh-CN"/>
        </w:rPr>
      </w:pPr>
      <w:r>
        <w:rPr>
          <w:rFonts w:hint="eastAsia" w:ascii="仿宋_GB2312" w:hAnsi="仿宋_GB2312" w:eastAsia="方正仿宋_GBK" w:cs="仿宋_GB2312"/>
          <w:sz w:val="32"/>
          <w:szCs w:val="32"/>
          <w:lang w:eastAsia="zh-CN"/>
        </w:rPr>
        <w:t>致：</w:t>
      </w:r>
      <w:r>
        <w:rPr>
          <w:rFonts w:hint="eastAsia" w:ascii="仿宋_GB2312" w:hAnsi="仿宋_GB2312" w:eastAsia="方正仿宋_GBK" w:cs="仿宋_GB2312"/>
          <w:sz w:val="32"/>
          <w:szCs w:val="32"/>
          <w:u w:val="single"/>
          <w:lang w:eastAsia="zh-CN"/>
        </w:rPr>
        <w:t>青铜峡市农业农村局</w:t>
      </w:r>
    </w:p>
    <w:p w14:paraId="5741CD43">
      <w:pPr>
        <w:keepNext w:val="0"/>
        <w:keepLines w:val="0"/>
        <w:pageBreakBefore w:val="0"/>
        <w:widowControl w:val="0"/>
        <w:kinsoku/>
        <w:wordWrap/>
        <w:overflowPunct/>
        <w:topLinePunct w:val="0"/>
        <w:autoSpaceDE/>
        <w:autoSpaceDN/>
        <w:bidi w:val="0"/>
        <w:adjustRightInd/>
        <w:snapToGrid/>
        <w:spacing w:line="520" w:lineRule="exact"/>
        <w:ind w:left="0" w:right="0" w:firstLine="0"/>
        <w:jc w:val="left"/>
        <w:textAlignment w:val="auto"/>
        <w:outlineLvl w:val="9"/>
        <w:rPr>
          <w:rFonts w:hint="eastAsia" w:ascii="仿宋_GB2312" w:hAnsi="仿宋_GB2312" w:eastAsia="方正仿宋_GBK" w:cs="仿宋_GB2312"/>
          <w:sz w:val="32"/>
          <w:szCs w:val="32"/>
          <w:lang w:eastAsia="zh-CN"/>
        </w:rPr>
      </w:pPr>
      <w:r>
        <w:rPr>
          <w:rFonts w:hint="eastAsia" w:ascii="仿宋_GB2312" w:hAnsi="仿宋_GB2312" w:eastAsia="方正仿宋_GBK" w:cs="仿宋_GB2312"/>
          <w:sz w:val="32"/>
          <w:szCs w:val="32"/>
          <w:lang w:val="en-US" w:eastAsia="zh-CN"/>
        </w:rPr>
        <w:t xml:space="preserve">    </w:t>
      </w:r>
      <w:r>
        <w:rPr>
          <w:rFonts w:hint="eastAsia" w:ascii="仿宋_GB2312" w:hAnsi="仿宋_GB2312" w:eastAsia="方正仿宋_GBK" w:cs="仿宋_GB2312"/>
          <w:sz w:val="32"/>
          <w:szCs w:val="32"/>
          <w:lang w:eastAsia="zh-CN"/>
        </w:rPr>
        <w:t>我单位</w:t>
      </w:r>
      <w:r>
        <w:rPr>
          <w:rFonts w:hint="eastAsia" w:ascii="仿宋_GB2312" w:hAnsi="仿宋_GB2312" w:eastAsia="方正仿宋_GBK" w:cs="仿宋_GB2312"/>
          <w:sz w:val="32"/>
          <w:szCs w:val="32"/>
          <w:u w:val="single"/>
          <w:lang w:eastAsia="zh-CN"/>
        </w:rPr>
        <w:t>：</w:t>
      </w:r>
      <w:r>
        <w:rPr>
          <w:rFonts w:hint="eastAsia" w:ascii="仿宋_GB2312" w:hAnsi="仿宋_GB2312" w:eastAsia="方正仿宋_GBK" w:cs="仿宋_GB2312"/>
          <w:sz w:val="32"/>
          <w:szCs w:val="32"/>
          <w:u w:val="single"/>
          <w:lang w:val="en-US" w:eastAsia="zh-CN"/>
        </w:rPr>
        <w:t xml:space="preserve">                                 ，</w:t>
      </w:r>
      <w:r>
        <w:rPr>
          <w:rFonts w:hint="eastAsia" w:ascii="仿宋_GB2312" w:hAnsi="仿宋_GB2312" w:eastAsia="方正仿宋_GBK" w:cs="仿宋_GB2312"/>
          <w:sz w:val="32"/>
          <w:szCs w:val="32"/>
          <w:lang w:eastAsia="zh-CN"/>
        </w:rPr>
        <w:t>以下统称我方）自愿参加</w:t>
      </w:r>
      <w:r>
        <w:rPr>
          <w:rFonts w:hint="eastAsia" w:ascii="仿宋_GB2312" w:hAnsi="仿宋_GB2312" w:eastAsia="方正仿宋_GBK" w:cs="仿宋_GB2312"/>
          <w:lang w:val="en-US" w:eastAsia="zh-CN"/>
        </w:rPr>
        <w:t>青铜峡市2024年农作物秸秆综合利用重点县项目</w:t>
      </w:r>
      <w:r>
        <w:rPr>
          <w:rFonts w:hint="eastAsia" w:ascii="仿宋_GB2312" w:hAnsi="仿宋_GB2312" w:eastAsia="方正仿宋_GBK" w:cs="仿宋_GB2312"/>
          <w:sz w:val="32"/>
          <w:szCs w:val="32"/>
          <w:lang w:eastAsia="zh-CN"/>
        </w:rPr>
        <w:t xml:space="preserve">            </w:t>
      </w:r>
      <w:r>
        <w:rPr>
          <w:rFonts w:hint="eastAsia" w:ascii="仿宋_GB2312" w:hAnsi="仿宋_GB2312" w:eastAsia="方正仿宋_GBK" w:cs="仿宋_GB2312"/>
          <w:sz w:val="32"/>
          <w:szCs w:val="32"/>
          <w:lang w:val="en-US" w:eastAsia="zh-CN"/>
        </w:rPr>
        <w:t>冬季清洁取暖成型燃料供应主体</w:t>
      </w:r>
      <w:r>
        <w:rPr>
          <w:rFonts w:hint="eastAsia" w:ascii="仿宋_GB2312" w:hAnsi="仿宋_GB2312" w:eastAsia="方正仿宋_GBK" w:cs="仿宋_GB2312"/>
          <w:sz w:val="32"/>
          <w:szCs w:val="32"/>
          <w:lang w:eastAsia="zh-CN"/>
        </w:rPr>
        <w:t>的</w:t>
      </w:r>
      <w:r>
        <w:rPr>
          <w:rFonts w:hint="eastAsia" w:ascii="仿宋_GB2312" w:hAnsi="仿宋_GB2312" w:eastAsia="方正仿宋_GBK" w:cs="仿宋_GB2312"/>
          <w:sz w:val="32"/>
          <w:szCs w:val="32"/>
          <w:lang w:val="en-US" w:eastAsia="zh-CN"/>
        </w:rPr>
        <w:t>遴选，</w:t>
      </w:r>
      <w:r>
        <w:rPr>
          <w:rFonts w:hint="eastAsia" w:ascii="仿宋_GB2312" w:hAnsi="仿宋_GB2312" w:eastAsia="方正仿宋_GBK" w:cs="仿宋_GB2312"/>
          <w:sz w:val="32"/>
          <w:szCs w:val="32"/>
          <w:lang w:eastAsia="zh-CN"/>
        </w:rPr>
        <w:t>并做出如下承诺：</w:t>
      </w:r>
    </w:p>
    <w:p w14:paraId="5741F644">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方正仿宋_GBK" w:cs="仿宋_GB2312"/>
          <w:sz w:val="32"/>
          <w:szCs w:val="32"/>
          <w:lang w:eastAsia="zh-CN"/>
        </w:rPr>
      </w:pPr>
      <w:r>
        <w:rPr>
          <w:rFonts w:hint="eastAsia" w:ascii="仿宋_GB2312" w:hAnsi="仿宋_GB2312" w:eastAsia="方正仿宋_GBK" w:cs="仿宋_GB2312"/>
          <w:sz w:val="32"/>
          <w:szCs w:val="32"/>
          <w:lang w:eastAsia="zh-CN"/>
        </w:rPr>
        <w:t>一、我单位已经通过青铜峡市人民政府网站下载了《</w:t>
      </w:r>
      <w:r>
        <w:rPr>
          <w:rFonts w:hint="eastAsia" w:ascii="仿宋_GB2312" w:hAnsi="仿宋_GB2312" w:eastAsia="方正仿宋_GBK" w:cs="仿宋_GB2312"/>
          <w:lang w:val="en-US" w:eastAsia="zh-CN"/>
        </w:rPr>
        <w:t>青铜峡市2024年农作物秸秆综合利用重点县项目</w:t>
      </w:r>
      <w:r>
        <w:rPr>
          <w:rFonts w:hint="eastAsia" w:ascii="仿宋_GB2312" w:hAnsi="仿宋_GB2312" w:eastAsia="方正仿宋_GBK" w:cs="仿宋_GB2312"/>
          <w:sz w:val="32"/>
          <w:szCs w:val="32"/>
          <w:lang w:val="en-US" w:eastAsia="zh-CN"/>
        </w:rPr>
        <w:t>冬季清洁取暖成型燃料供应主体遴选方案</w:t>
      </w:r>
      <w:r>
        <w:rPr>
          <w:rFonts w:hint="eastAsia" w:ascii="仿宋_GB2312" w:hAnsi="仿宋_GB2312" w:eastAsia="方正仿宋_GBK" w:cs="仿宋_GB2312"/>
          <w:sz w:val="32"/>
          <w:szCs w:val="32"/>
          <w:lang w:eastAsia="zh-CN"/>
        </w:rPr>
        <w:t>》。</w:t>
      </w:r>
    </w:p>
    <w:p w14:paraId="10AF4F4A">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方正仿宋_GBK" w:cs="仿宋_GB2312"/>
          <w:sz w:val="32"/>
          <w:szCs w:val="32"/>
          <w:lang w:eastAsia="zh-CN"/>
        </w:rPr>
      </w:pPr>
      <w:r>
        <w:rPr>
          <w:rFonts w:hint="eastAsia" w:ascii="仿宋_GB2312" w:hAnsi="仿宋_GB2312" w:eastAsia="方正仿宋_GBK" w:cs="仿宋_GB2312"/>
          <w:sz w:val="32"/>
          <w:szCs w:val="32"/>
          <w:lang w:eastAsia="zh-CN"/>
        </w:rPr>
        <w:t>二、我方已详细查阅全部遴选方案，愿意按照</w:t>
      </w:r>
      <w:r>
        <w:rPr>
          <w:rFonts w:hint="eastAsia" w:ascii="仿宋_GB2312" w:hAnsi="仿宋_GB2312" w:eastAsia="方正仿宋_GBK" w:cs="仿宋_GB2312"/>
          <w:sz w:val="32"/>
          <w:szCs w:val="32"/>
          <w:lang w:val="en-US" w:eastAsia="zh-CN"/>
        </w:rPr>
        <w:t>遴选</w:t>
      </w:r>
      <w:r>
        <w:rPr>
          <w:rFonts w:hint="eastAsia" w:ascii="仿宋_GB2312" w:hAnsi="仿宋_GB2312" w:eastAsia="方正仿宋_GBK" w:cs="仿宋_GB2312"/>
          <w:sz w:val="32"/>
          <w:szCs w:val="32"/>
          <w:lang w:eastAsia="zh-CN"/>
        </w:rPr>
        <w:t>方案规定的各项要求，向青铜峡市农业农村局提供所需的服务。</w:t>
      </w:r>
    </w:p>
    <w:p w14:paraId="17B028B5">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方正仿宋_GBK" w:cs="仿宋_GB2312"/>
          <w:sz w:val="32"/>
          <w:szCs w:val="32"/>
          <w:lang w:eastAsia="zh-CN"/>
        </w:rPr>
      </w:pPr>
      <w:r>
        <w:rPr>
          <w:rFonts w:hint="eastAsia" w:ascii="仿宋_GB2312" w:hAnsi="仿宋_GB2312" w:eastAsia="方正仿宋_GBK" w:cs="仿宋_GB2312"/>
          <w:sz w:val="32"/>
          <w:szCs w:val="32"/>
          <w:lang w:eastAsia="zh-CN"/>
        </w:rPr>
        <w:t>三、我方愿意按照遴选方案要求，提供与项目有关的所有文件资料，并保证提供资料的合法性、真实性、完整性和准确性。</w:t>
      </w:r>
    </w:p>
    <w:p w14:paraId="32F54876">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方正仿宋_GBK" w:cs="仿宋_GB2312"/>
          <w:sz w:val="32"/>
          <w:szCs w:val="32"/>
          <w:lang w:eastAsia="zh-CN"/>
        </w:rPr>
      </w:pPr>
      <w:r>
        <w:rPr>
          <w:rFonts w:hint="eastAsia" w:ascii="仿宋_GB2312" w:hAnsi="仿宋_GB2312" w:eastAsia="方正仿宋_GBK" w:cs="仿宋_GB2312"/>
          <w:sz w:val="32"/>
          <w:szCs w:val="32"/>
          <w:lang w:eastAsia="zh-CN"/>
        </w:rPr>
        <w:t>四、一旦我方被确定为</w:t>
      </w:r>
      <w:r>
        <w:rPr>
          <w:rFonts w:hint="eastAsia" w:ascii="仿宋_GB2312" w:hAnsi="仿宋_GB2312" w:eastAsia="方正仿宋_GBK" w:cs="仿宋_GB2312"/>
          <w:sz w:val="32"/>
          <w:szCs w:val="32"/>
          <w:lang w:val="en-US" w:eastAsia="zh-CN"/>
        </w:rPr>
        <w:t>遴选</w:t>
      </w:r>
      <w:r>
        <w:rPr>
          <w:rFonts w:hint="eastAsia" w:ascii="仿宋_GB2312" w:hAnsi="仿宋_GB2312" w:eastAsia="方正仿宋_GBK" w:cs="仿宋_GB2312"/>
          <w:sz w:val="32"/>
          <w:szCs w:val="32"/>
          <w:lang w:eastAsia="zh-CN"/>
        </w:rPr>
        <w:t xml:space="preserve">供应商，我方将严格履行合同规定的责任和义务，保证于合同签字生效后按照约定时间完成项目，并交付青铜峡市农业农村局验收。 </w:t>
      </w:r>
    </w:p>
    <w:p w14:paraId="0292F2D7">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eastAsia" w:ascii="仿宋_GB2312" w:hAnsi="仿宋_GB2312" w:eastAsia="方正仿宋_GBK" w:cs="仿宋_GB2312"/>
          <w:sz w:val="32"/>
          <w:szCs w:val="32"/>
          <w:lang w:eastAsia="zh-CN"/>
        </w:rPr>
      </w:pPr>
    </w:p>
    <w:p w14:paraId="6F7226DF">
      <w:pPr>
        <w:keepNext w:val="0"/>
        <w:keepLines w:val="0"/>
        <w:pageBreakBefore w:val="0"/>
        <w:widowControl w:val="0"/>
        <w:kinsoku/>
        <w:wordWrap/>
        <w:overflowPunct/>
        <w:topLinePunct w:val="0"/>
        <w:autoSpaceDE/>
        <w:autoSpaceDN/>
        <w:bidi w:val="0"/>
        <w:adjustRightInd/>
        <w:snapToGrid/>
        <w:spacing w:line="520" w:lineRule="exact"/>
        <w:ind w:left="0" w:right="0" w:firstLine="3200" w:firstLineChars="1000"/>
        <w:jc w:val="both"/>
        <w:textAlignment w:val="auto"/>
        <w:rPr>
          <w:rFonts w:hint="eastAsia" w:ascii="仿宋_GB2312" w:hAnsi="仿宋_GB2312" w:eastAsia="方正仿宋_GBK" w:cs="仿宋_GB2312"/>
          <w:sz w:val="32"/>
          <w:szCs w:val="32"/>
          <w:lang w:eastAsia="zh-CN"/>
        </w:rPr>
      </w:pPr>
      <w:r>
        <w:rPr>
          <w:rFonts w:hint="eastAsia" w:ascii="仿宋_GB2312" w:hAnsi="仿宋_GB2312" w:eastAsia="方正仿宋_GBK" w:cs="仿宋_GB2312"/>
          <w:sz w:val="32"/>
          <w:szCs w:val="32"/>
          <w:lang w:val="en-US" w:eastAsia="zh-CN"/>
        </w:rPr>
        <w:t>单位</w:t>
      </w:r>
      <w:r>
        <w:rPr>
          <w:rFonts w:hint="eastAsia" w:ascii="仿宋_GB2312" w:hAnsi="仿宋_GB2312" w:eastAsia="方正仿宋_GBK" w:cs="仿宋_GB2312"/>
          <w:sz w:val="32"/>
          <w:szCs w:val="32"/>
          <w:lang w:eastAsia="zh-CN"/>
        </w:rPr>
        <w:t>（公章）</w:t>
      </w:r>
      <w:r>
        <w:rPr>
          <w:rFonts w:hint="eastAsia" w:ascii="仿宋_GB2312" w:hAnsi="仿宋_GB2312" w:eastAsia="方正仿宋_GBK" w:cs="仿宋_GB2312"/>
          <w:sz w:val="32"/>
          <w:szCs w:val="32"/>
          <w:lang w:val="en-US" w:eastAsia="zh-CN"/>
        </w:rPr>
        <w:t xml:space="preserve">： </w:t>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p>
    <w:p w14:paraId="6C7AAE8C">
      <w:pPr>
        <w:keepNext w:val="0"/>
        <w:keepLines w:val="0"/>
        <w:pageBreakBefore w:val="0"/>
        <w:widowControl w:val="0"/>
        <w:kinsoku/>
        <w:wordWrap/>
        <w:overflowPunct/>
        <w:topLinePunct w:val="0"/>
        <w:autoSpaceDE/>
        <w:autoSpaceDN/>
        <w:bidi w:val="0"/>
        <w:adjustRightInd/>
        <w:snapToGrid/>
        <w:spacing w:line="520" w:lineRule="exact"/>
        <w:ind w:left="0" w:right="0" w:firstLine="3200" w:firstLineChars="1000"/>
        <w:jc w:val="both"/>
        <w:textAlignment w:val="auto"/>
        <w:rPr>
          <w:rFonts w:hint="eastAsia" w:ascii="仿宋_GB2312" w:hAnsi="仿宋_GB2312" w:eastAsia="方正仿宋_GBK" w:cs="仿宋_GB2312"/>
          <w:sz w:val="32"/>
          <w:szCs w:val="32"/>
          <w:lang w:eastAsia="zh-CN"/>
        </w:rPr>
      </w:pPr>
    </w:p>
    <w:p w14:paraId="5545D341">
      <w:pPr>
        <w:keepNext w:val="0"/>
        <w:keepLines w:val="0"/>
        <w:pageBreakBefore w:val="0"/>
        <w:widowControl w:val="0"/>
        <w:kinsoku/>
        <w:wordWrap/>
        <w:overflowPunct/>
        <w:topLinePunct w:val="0"/>
        <w:autoSpaceDE/>
        <w:autoSpaceDN/>
        <w:bidi w:val="0"/>
        <w:adjustRightInd/>
        <w:snapToGrid/>
        <w:spacing w:line="520" w:lineRule="exact"/>
        <w:ind w:left="0" w:right="0" w:firstLine="3200" w:firstLineChars="1000"/>
        <w:jc w:val="both"/>
        <w:textAlignment w:val="auto"/>
        <w:rPr>
          <w:rFonts w:hint="eastAsia" w:ascii="仿宋_GB2312" w:hAnsi="仿宋_GB2312" w:eastAsia="方正仿宋_GBK" w:cs="仿宋_GB2312"/>
          <w:sz w:val="32"/>
          <w:szCs w:val="32"/>
          <w:lang w:val="en-US" w:eastAsia="zh-CN"/>
        </w:rPr>
      </w:pPr>
      <w:r>
        <w:rPr>
          <w:rFonts w:hint="eastAsia" w:ascii="仿宋_GB2312" w:hAnsi="仿宋_GB2312" w:eastAsia="方正仿宋_GBK" w:cs="仿宋_GB2312"/>
          <w:sz w:val="32"/>
          <w:szCs w:val="32"/>
          <w:lang w:eastAsia="zh-CN"/>
        </w:rPr>
        <w:t>法定代表人或委托代理人（签字或签章）：</w:t>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val="en-US" w:eastAsia="zh-CN"/>
        </w:rPr>
        <w:t xml:space="preserve">               </w:t>
      </w:r>
    </w:p>
    <w:p w14:paraId="7CB9A774">
      <w:pPr>
        <w:keepNext w:val="0"/>
        <w:keepLines w:val="0"/>
        <w:pageBreakBefore w:val="0"/>
        <w:widowControl w:val="0"/>
        <w:kinsoku/>
        <w:wordWrap/>
        <w:overflowPunct/>
        <w:topLinePunct w:val="0"/>
        <w:autoSpaceDE/>
        <w:autoSpaceDN/>
        <w:bidi w:val="0"/>
        <w:adjustRightInd/>
        <w:snapToGrid/>
        <w:spacing w:line="520" w:lineRule="exact"/>
        <w:ind w:left="0" w:right="0" w:firstLine="3200" w:firstLineChars="1000"/>
        <w:jc w:val="both"/>
        <w:textAlignment w:val="auto"/>
        <w:rPr>
          <w:rFonts w:hint="eastAsia" w:ascii="仿宋_GB2312" w:hAnsi="仿宋_GB2312" w:eastAsia="方正仿宋_GBK" w:cs="仿宋_GB2312"/>
          <w:sz w:val="32"/>
          <w:szCs w:val="32"/>
          <w:lang w:eastAsia="zh-CN"/>
        </w:rPr>
      </w:pPr>
      <w:r>
        <w:rPr>
          <w:rFonts w:hint="eastAsia" w:ascii="仿宋_GB2312" w:hAnsi="仿宋_GB2312" w:eastAsia="方正仿宋_GBK" w:cs="仿宋_GB2312"/>
          <w:sz w:val="32"/>
          <w:szCs w:val="32"/>
          <w:lang w:eastAsia="zh-CN"/>
        </w:rPr>
        <w:t>联系电话：</w:t>
      </w:r>
    </w:p>
    <w:p w14:paraId="490971BB">
      <w:pPr>
        <w:keepNext w:val="0"/>
        <w:keepLines w:val="0"/>
        <w:pageBreakBefore w:val="0"/>
        <w:widowControl w:val="0"/>
        <w:kinsoku/>
        <w:wordWrap/>
        <w:overflowPunct/>
        <w:topLinePunct w:val="0"/>
        <w:autoSpaceDE/>
        <w:autoSpaceDN/>
        <w:bidi w:val="0"/>
        <w:adjustRightInd/>
        <w:snapToGrid/>
        <w:spacing w:line="540" w:lineRule="exact"/>
        <w:ind w:right="0" w:firstLine="3200" w:firstLineChars="1000"/>
        <w:jc w:val="both"/>
        <w:textAlignment w:val="auto"/>
        <w:rPr>
          <w:rFonts w:hint="eastAsia" w:ascii="仿宋_GB2312" w:hAnsi="仿宋_GB2312" w:eastAsia="方正仿宋_GBK" w:cs="仿宋_GB2312"/>
          <w:sz w:val="32"/>
          <w:szCs w:val="32"/>
          <w:lang w:eastAsia="zh-CN"/>
        </w:rPr>
      </w:pPr>
      <w:r>
        <w:rPr>
          <w:rFonts w:hint="eastAsia" w:ascii="仿宋_GB2312" w:hAnsi="仿宋_GB2312" w:eastAsia="方正仿宋_GBK" w:cs="仿宋_GB2312"/>
          <w:sz w:val="32"/>
          <w:szCs w:val="32"/>
          <w:lang w:eastAsia="zh-CN"/>
        </w:rPr>
        <w:t>日</w:t>
      </w:r>
      <w:r>
        <w:rPr>
          <w:rFonts w:ascii="仿宋_GB2312" w:hAnsi="仿宋_GB2312" w:eastAsia="方正仿宋_GBK" w:cs="仿宋_GB2312"/>
          <w:sz w:val="32"/>
          <w:szCs w:val="32"/>
          <w:lang w:eastAsia="zh-CN"/>
        </w:rPr>
        <w:t xml:space="preserve">    </w:t>
      </w:r>
      <w:r>
        <w:rPr>
          <w:rFonts w:hint="eastAsia" w:ascii="仿宋_GB2312" w:hAnsi="仿宋_GB2312" w:eastAsia="方正仿宋_GBK" w:cs="仿宋_GB2312"/>
          <w:sz w:val="32"/>
          <w:szCs w:val="32"/>
          <w:lang w:eastAsia="zh-CN"/>
        </w:rPr>
        <w:t>期：</w:t>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r>
        <w:rPr>
          <w:rFonts w:hint="eastAsia" w:ascii="仿宋_GB2312" w:hAnsi="仿宋_GB2312" w:eastAsia="方正仿宋_GBK" w:cs="仿宋_GB2312"/>
          <w:sz w:val="32"/>
          <w:szCs w:val="32"/>
          <w:lang w:eastAsia="zh-CN"/>
        </w:rPr>
        <w:tab/>
      </w:r>
    </w:p>
    <w:p w14:paraId="40B667E3">
      <w:pPr>
        <w:rPr>
          <w:rFonts w:hint="eastAsia"/>
        </w:rPr>
        <w:sectPr>
          <w:footerReference r:id="rId3" w:type="default"/>
          <w:pgSz w:w="11906" w:h="16838"/>
          <w:pgMar w:top="2098" w:right="1474" w:bottom="1985" w:left="1588" w:header="851" w:footer="992" w:gutter="0"/>
          <w:cols w:space="720" w:num="1"/>
          <w:docGrid w:type="lines" w:linePitch="312" w:charSpace="0"/>
        </w:sectPr>
      </w:pPr>
    </w:p>
    <w:p w14:paraId="502D1B33">
      <w:pPr>
        <w:jc w:val="both"/>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附件2</w:t>
      </w:r>
    </w:p>
    <w:p w14:paraId="55513D9B">
      <w:pPr>
        <w:jc w:val="center"/>
        <w:rPr>
          <w:rFonts w:hint="eastAsia" w:ascii="方正小标宋_GBK" w:hAnsi="方正小标宋_GBK" w:eastAsia="方正小标宋_GBK" w:cs="方正小标宋_GBK"/>
          <w:b w:val="0"/>
          <w:bCs/>
          <w:i w:val="0"/>
          <w:color w:val="000000"/>
          <w:kern w:val="0"/>
          <w:sz w:val="32"/>
          <w:szCs w:val="32"/>
          <w:u w:val="none"/>
          <w:lang w:val="en-US" w:eastAsia="zh-CN"/>
        </w:rPr>
      </w:pPr>
      <w:r>
        <w:rPr>
          <w:rFonts w:hint="eastAsia" w:ascii="方正小标宋_GBK" w:hAnsi="方正小标宋_GBK" w:eastAsia="方正小标宋_GBK" w:cs="方正小标宋_GBK"/>
          <w:b w:val="0"/>
          <w:bCs/>
          <w:i w:val="0"/>
          <w:color w:val="000000"/>
          <w:kern w:val="0"/>
          <w:sz w:val="32"/>
          <w:szCs w:val="32"/>
          <w:u w:val="none"/>
          <w:lang w:val="en-US" w:eastAsia="zh-CN"/>
        </w:rPr>
        <w:t>青铜峡市2024年农作物秸秆综合利用重点县项目</w:t>
      </w:r>
      <w:r>
        <w:rPr>
          <w:rFonts w:hint="eastAsia" w:ascii="方正小标宋_GBK" w:hAnsi="方正小标宋_GBK" w:eastAsia="方正小标宋_GBK" w:cs="方正小标宋_GBK"/>
          <w:b w:val="0"/>
          <w:bCs/>
          <w:spacing w:val="0"/>
          <w:sz w:val="32"/>
          <w:szCs w:val="32"/>
          <w:lang w:val="en-US" w:eastAsia="zh-CN" w:bidi="ar-SA"/>
        </w:rPr>
        <w:t>冬季清洁取暖成型燃料</w:t>
      </w:r>
      <w:r>
        <w:rPr>
          <w:rFonts w:hint="eastAsia" w:ascii="方正小标宋_GBK" w:hAnsi="方正小标宋_GBK" w:eastAsia="方正小标宋_GBK" w:cs="方正小标宋_GBK"/>
          <w:b w:val="0"/>
          <w:bCs/>
          <w:i w:val="0"/>
          <w:color w:val="000000"/>
          <w:kern w:val="0"/>
          <w:sz w:val="32"/>
          <w:szCs w:val="32"/>
          <w:u w:val="none"/>
          <w:lang w:val="en-US" w:eastAsia="zh-CN"/>
        </w:rPr>
        <w:t>供应主体遴选评分规则</w:t>
      </w:r>
    </w:p>
    <w:tbl>
      <w:tblPr>
        <w:tblStyle w:val="17"/>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83"/>
        <w:gridCol w:w="9381"/>
        <w:gridCol w:w="1163"/>
        <w:gridCol w:w="1161"/>
      </w:tblGrid>
      <w:tr w14:paraId="2CEA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55" w:type="dxa"/>
            <w:gridSpan w:val="2"/>
            <w:shd w:val="clear" w:color="auto" w:fill="auto"/>
            <w:vAlign w:val="center"/>
          </w:tcPr>
          <w:p w14:paraId="6D74D197">
            <w:pPr>
              <w:keepNext w:val="0"/>
              <w:keepLines w:val="0"/>
              <w:widowControl/>
              <w:suppressLineNumbers w:val="0"/>
              <w:jc w:val="center"/>
              <w:textAlignment w:val="center"/>
              <w:rPr>
                <w:rFonts w:hint="eastAsia" w:ascii="仿宋_GB2312" w:hAnsi="仿宋_GB2312" w:eastAsia="方正仿宋_GBK" w:cs="仿宋_GB2312"/>
                <w:b w:val="0"/>
                <w:bCs w:val="0"/>
                <w:i w:val="0"/>
                <w:color w:val="000000"/>
                <w:kern w:val="0"/>
                <w:sz w:val="24"/>
                <w:szCs w:val="24"/>
                <w:u w:val="none"/>
                <w:vertAlign w:val="baseline"/>
                <w:lang w:val="en-US" w:eastAsia="zh-CN"/>
              </w:rPr>
            </w:pPr>
            <w:r>
              <w:rPr>
                <w:rFonts w:hint="eastAsia" w:ascii="仿宋_GB2312" w:hAnsi="仿宋_GB2312" w:eastAsia="方正仿宋_GBK" w:cs="仿宋_GB2312"/>
                <w:b w:val="0"/>
                <w:bCs w:val="0"/>
                <w:i w:val="0"/>
                <w:color w:val="000000"/>
                <w:kern w:val="0"/>
                <w:sz w:val="24"/>
                <w:szCs w:val="24"/>
                <w:u w:val="none"/>
                <w:lang w:val="en-US" w:eastAsia="zh-CN"/>
              </w:rPr>
              <w:t>申报主体名称</w:t>
            </w:r>
          </w:p>
        </w:tc>
        <w:tc>
          <w:tcPr>
            <w:tcW w:w="11705" w:type="dxa"/>
            <w:gridSpan w:val="3"/>
            <w:shd w:val="clear" w:color="auto" w:fill="auto"/>
            <w:vAlign w:val="center"/>
          </w:tcPr>
          <w:p w14:paraId="7158FAAC">
            <w:pPr>
              <w:jc w:val="center"/>
              <w:rPr>
                <w:rFonts w:hint="eastAsia" w:ascii="仿宋_GB2312" w:hAnsi="仿宋_GB2312" w:eastAsia="方正仿宋_GBK" w:cs="仿宋_GB2312"/>
                <w:b w:val="0"/>
                <w:bCs w:val="0"/>
                <w:i w:val="0"/>
                <w:color w:val="000000"/>
                <w:kern w:val="0"/>
                <w:sz w:val="24"/>
                <w:szCs w:val="24"/>
                <w:u w:val="none"/>
                <w:vertAlign w:val="baseline"/>
                <w:lang w:val="en-US" w:eastAsia="zh-CN"/>
              </w:rPr>
            </w:pPr>
            <w:r>
              <w:rPr>
                <w:rFonts w:hint="eastAsia" w:ascii="仿宋_GB2312" w:hAnsi="仿宋_GB2312" w:eastAsia="方正仿宋_GBK" w:cs="仿宋_GB2312"/>
                <w:b w:val="0"/>
                <w:bCs w:val="0"/>
                <w:i w:val="0"/>
                <w:color w:val="000000"/>
                <w:kern w:val="0"/>
                <w:sz w:val="24"/>
                <w:szCs w:val="24"/>
                <w:u w:val="none"/>
                <w:lang w:val="en-US" w:eastAsia="zh-CN"/>
              </w:rPr>
              <w:t xml:space="preserve"> </w:t>
            </w:r>
          </w:p>
        </w:tc>
      </w:tr>
      <w:tr w14:paraId="64D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2" w:type="dxa"/>
            <w:tcBorders>
              <w:top w:val="single" w:color="auto" w:sz="4" w:space="0"/>
              <w:left w:val="single" w:color="auto" w:sz="4" w:space="0"/>
              <w:right w:val="single" w:color="auto" w:sz="4" w:space="0"/>
            </w:tcBorders>
            <w:vAlign w:val="center"/>
          </w:tcPr>
          <w:p w14:paraId="3F09D2D5">
            <w:pPr>
              <w:jc w:val="center"/>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序号</w:t>
            </w:r>
          </w:p>
        </w:tc>
        <w:tc>
          <w:tcPr>
            <w:tcW w:w="1283" w:type="dxa"/>
            <w:tcBorders>
              <w:top w:val="single" w:color="auto" w:sz="4" w:space="0"/>
              <w:left w:val="single" w:color="auto" w:sz="4" w:space="0"/>
              <w:right w:val="single" w:color="auto" w:sz="4" w:space="0"/>
            </w:tcBorders>
            <w:vAlign w:val="center"/>
          </w:tcPr>
          <w:p w14:paraId="1ABC08ED">
            <w:pPr>
              <w:jc w:val="center"/>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评审项目</w:t>
            </w:r>
          </w:p>
        </w:tc>
        <w:tc>
          <w:tcPr>
            <w:tcW w:w="9381" w:type="dxa"/>
            <w:tcBorders>
              <w:top w:val="single" w:color="auto" w:sz="4" w:space="0"/>
              <w:left w:val="single" w:color="auto" w:sz="4" w:space="0"/>
              <w:right w:val="single" w:color="auto" w:sz="4" w:space="0"/>
            </w:tcBorders>
            <w:shd w:val="clear" w:color="auto" w:fill="auto"/>
            <w:vAlign w:val="center"/>
          </w:tcPr>
          <w:p w14:paraId="7576CDDF">
            <w:pPr>
              <w:keepNext w:val="0"/>
              <w:keepLines w:val="0"/>
              <w:widowControl/>
              <w:suppressLineNumbers w:val="0"/>
              <w:jc w:val="center"/>
              <w:textAlignment w:val="center"/>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评审内容及标准</w:t>
            </w:r>
          </w:p>
        </w:tc>
        <w:tc>
          <w:tcPr>
            <w:tcW w:w="1163" w:type="dxa"/>
            <w:tcBorders>
              <w:top w:val="single" w:color="auto" w:sz="4" w:space="0"/>
              <w:left w:val="single" w:color="auto" w:sz="4" w:space="0"/>
              <w:right w:val="single" w:color="auto" w:sz="4" w:space="0"/>
            </w:tcBorders>
            <w:shd w:val="clear" w:color="auto" w:fill="auto"/>
            <w:vAlign w:val="center"/>
          </w:tcPr>
          <w:p w14:paraId="4E12587A">
            <w:pPr>
              <w:keepNext w:val="0"/>
              <w:keepLines w:val="0"/>
              <w:widowControl/>
              <w:suppressLineNumbers w:val="0"/>
              <w:jc w:val="center"/>
              <w:textAlignment w:val="center"/>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lang w:val="en-US" w:eastAsia="zh-CN"/>
              </w:rPr>
              <w:t>分值</w:t>
            </w:r>
          </w:p>
        </w:tc>
        <w:tc>
          <w:tcPr>
            <w:tcW w:w="1161" w:type="dxa"/>
            <w:tcBorders>
              <w:top w:val="single" w:color="auto" w:sz="4" w:space="0"/>
              <w:left w:val="single" w:color="auto" w:sz="4" w:space="0"/>
              <w:right w:val="single" w:color="auto" w:sz="4" w:space="0"/>
            </w:tcBorders>
            <w:shd w:val="clear" w:color="auto" w:fill="auto"/>
            <w:vAlign w:val="center"/>
          </w:tcPr>
          <w:p w14:paraId="48D4F597">
            <w:pPr>
              <w:keepNext w:val="0"/>
              <w:keepLines w:val="0"/>
              <w:widowControl/>
              <w:suppressLineNumbers w:val="0"/>
              <w:jc w:val="center"/>
              <w:textAlignment w:val="center"/>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lang w:val="en-US" w:eastAsia="zh-CN"/>
              </w:rPr>
              <w:t>得分</w:t>
            </w:r>
          </w:p>
        </w:tc>
      </w:tr>
      <w:tr w14:paraId="130D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2" w:type="dxa"/>
            <w:tcBorders>
              <w:top w:val="single" w:color="auto" w:sz="4" w:space="0"/>
              <w:left w:val="single" w:color="auto" w:sz="4" w:space="0"/>
              <w:right w:val="single" w:color="auto" w:sz="4" w:space="0"/>
            </w:tcBorders>
            <w:vAlign w:val="center"/>
          </w:tcPr>
          <w:p w14:paraId="553A77A2">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1</w:t>
            </w:r>
          </w:p>
        </w:tc>
        <w:tc>
          <w:tcPr>
            <w:tcW w:w="1283" w:type="dxa"/>
            <w:tcBorders>
              <w:top w:val="single" w:color="auto" w:sz="4" w:space="0"/>
              <w:left w:val="single" w:color="auto" w:sz="4" w:space="0"/>
              <w:right w:val="single" w:color="auto" w:sz="4" w:space="0"/>
            </w:tcBorders>
            <w:vAlign w:val="center"/>
          </w:tcPr>
          <w:p w14:paraId="527FE96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市场报价</w:t>
            </w:r>
          </w:p>
        </w:tc>
        <w:tc>
          <w:tcPr>
            <w:tcW w:w="9381" w:type="dxa"/>
            <w:tcBorders>
              <w:top w:val="single" w:color="auto" w:sz="4" w:space="0"/>
              <w:left w:val="single" w:color="auto" w:sz="4" w:space="0"/>
              <w:right w:val="single" w:color="auto" w:sz="4" w:space="0"/>
            </w:tcBorders>
            <w:shd w:val="clear" w:color="auto" w:fill="auto"/>
            <w:vAlign w:val="center"/>
          </w:tcPr>
          <w:p w14:paraId="5E808441">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0"/>
              <w:jc w:val="left"/>
              <w:textAlignment w:val="center"/>
              <w:outlineLvl w:val="9"/>
              <w:rPr>
                <w:rFonts w:hint="eastAsia" w:ascii="仿宋_GB2312" w:hAnsi="仿宋_GB2312" w:eastAsia="方正仿宋_GBK" w:cs="仿宋_GB2312"/>
                <w:b/>
                <w:i w:val="0"/>
                <w:color w:val="000000"/>
                <w:kern w:val="0"/>
                <w:sz w:val="24"/>
                <w:szCs w:val="24"/>
                <w:u w:val="none"/>
                <w:vertAlign w:val="baseline"/>
                <w:lang w:val="en-US" w:eastAsia="zh-CN"/>
              </w:rPr>
            </w:pPr>
            <w:r>
              <w:rPr>
                <w:rFonts w:hint="eastAsia" w:ascii="仿宋_GB2312" w:hAnsi="仿宋_GB2312" w:eastAsia="方正仿宋_GBK" w:cs="仿宋_GB2312"/>
                <w:spacing w:val="0"/>
                <w:sz w:val="24"/>
                <w:szCs w:val="24"/>
                <w:lang w:val="en-US" w:eastAsia="zh-CN" w:bidi="ar-SA"/>
              </w:rPr>
              <w:t>得分标准=（补贴价格/市场报价）*分值。按照比例得分。</w:t>
            </w:r>
          </w:p>
        </w:tc>
        <w:tc>
          <w:tcPr>
            <w:tcW w:w="1163" w:type="dxa"/>
            <w:tcBorders>
              <w:top w:val="single" w:color="auto" w:sz="4" w:space="0"/>
              <w:left w:val="single" w:color="auto" w:sz="4" w:space="0"/>
              <w:right w:val="single" w:color="auto" w:sz="4" w:space="0"/>
            </w:tcBorders>
            <w:vAlign w:val="center"/>
          </w:tcPr>
          <w:p w14:paraId="630DD52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20</w:t>
            </w:r>
          </w:p>
        </w:tc>
        <w:tc>
          <w:tcPr>
            <w:tcW w:w="1161" w:type="dxa"/>
            <w:tcBorders>
              <w:top w:val="single" w:color="auto" w:sz="4" w:space="0"/>
              <w:left w:val="single" w:color="auto" w:sz="4" w:space="0"/>
              <w:right w:val="single" w:color="auto" w:sz="4" w:space="0"/>
            </w:tcBorders>
          </w:tcPr>
          <w:p w14:paraId="5D558B00">
            <w:pPr>
              <w:keepNext w:val="0"/>
              <w:keepLines w:val="0"/>
              <w:pageBreakBefore w:val="0"/>
              <w:widowControl w:val="0"/>
              <w:kinsoku/>
              <w:wordWrap/>
              <w:overflowPunct/>
              <w:topLinePunct w:val="0"/>
              <w:autoSpaceDE/>
              <w:autoSpaceDN/>
              <w:bidi w:val="0"/>
              <w:adjustRightInd/>
              <w:snapToGrid/>
              <w:spacing w:line="360" w:lineRule="exact"/>
              <w:ind w:left="0" w:right="0" w:firstLine="0"/>
              <w:outlineLvl w:val="9"/>
              <w:rPr>
                <w:rFonts w:hint="eastAsia" w:ascii="仿宋_GB2312" w:hAnsi="仿宋_GB2312" w:eastAsia="方正仿宋_GBK" w:cs="仿宋_GB2312"/>
                <w:b/>
                <w:i w:val="0"/>
                <w:color w:val="000000"/>
                <w:kern w:val="0"/>
                <w:sz w:val="24"/>
                <w:szCs w:val="24"/>
                <w:u w:val="none"/>
                <w:vertAlign w:val="baseline"/>
                <w:lang w:val="en-US" w:eastAsia="zh-CN"/>
              </w:rPr>
            </w:pPr>
          </w:p>
        </w:tc>
      </w:tr>
      <w:tr w14:paraId="79E2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2" w:type="dxa"/>
            <w:tcBorders>
              <w:top w:val="single" w:color="auto" w:sz="4" w:space="0"/>
              <w:left w:val="single" w:color="auto" w:sz="4" w:space="0"/>
              <w:right w:val="single" w:color="auto" w:sz="4" w:space="0"/>
            </w:tcBorders>
            <w:vAlign w:val="center"/>
          </w:tcPr>
          <w:p w14:paraId="6FBFCD2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2</w:t>
            </w:r>
          </w:p>
        </w:tc>
        <w:tc>
          <w:tcPr>
            <w:tcW w:w="1283" w:type="dxa"/>
            <w:tcBorders>
              <w:top w:val="single" w:color="auto" w:sz="4" w:space="0"/>
              <w:left w:val="single" w:color="auto" w:sz="4" w:space="0"/>
              <w:right w:val="single" w:color="auto" w:sz="4" w:space="0"/>
            </w:tcBorders>
            <w:vAlign w:val="center"/>
          </w:tcPr>
          <w:p w14:paraId="4DCCE64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资格条件</w:t>
            </w:r>
          </w:p>
        </w:tc>
        <w:tc>
          <w:tcPr>
            <w:tcW w:w="9381" w:type="dxa"/>
            <w:tcBorders>
              <w:top w:val="single" w:color="auto" w:sz="4" w:space="0"/>
              <w:left w:val="single" w:color="auto" w:sz="4" w:space="0"/>
              <w:right w:val="single" w:color="auto" w:sz="4" w:space="0"/>
            </w:tcBorders>
            <w:shd w:val="clear" w:color="auto" w:fill="auto"/>
            <w:vAlign w:val="center"/>
          </w:tcPr>
          <w:p w14:paraId="463B13C2">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0"/>
              <w:jc w:val="left"/>
              <w:textAlignment w:val="center"/>
              <w:outlineLvl w:val="9"/>
              <w:rPr>
                <w:rFonts w:hint="eastAsia" w:ascii="仿宋_GB2312" w:hAnsi="仿宋_GB2312" w:eastAsia="方正仿宋_GBK" w:cs="仿宋_GB2312"/>
                <w:i w:val="0"/>
                <w:color w:val="000000"/>
                <w:kern w:val="0"/>
                <w:sz w:val="24"/>
                <w:szCs w:val="24"/>
                <w:u w:val="none"/>
                <w:lang w:val="en-US" w:eastAsia="zh-CN"/>
              </w:rPr>
            </w:pPr>
            <w:r>
              <w:rPr>
                <w:rFonts w:hint="eastAsia" w:ascii="仿宋_GB2312" w:hAnsi="仿宋_GB2312" w:eastAsia="方正仿宋_GBK" w:cs="仿宋_GB2312"/>
                <w:i w:val="0"/>
                <w:color w:val="000000"/>
                <w:kern w:val="0"/>
                <w:sz w:val="24"/>
                <w:szCs w:val="24"/>
                <w:u w:val="none"/>
                <w:lang w:val="en-US" w:eastAsia="zh-CN"/>
              </w:rPr>
              <w:t>企业营业执照（含法人身份证件）、企业征信报告、从业人员资格证（会计、专业技术、安全员等）、近三年内在经营活动中没有重大违法记录和无安全生产事故承诺书等齐全的得20分，每差一项扣4分。</w:t>
            </w:r>
          </w:p>
        </w:tc>
        <w:tc>
          <w:tcPr>
            <w:tcW w:w="1163" w:type="dxa"/>
            <w:tcBorders>
              <w:top w:val="single" w:color="auto" w:sz="4" w:space="0"/>
              <w:left w:val="single" w:color="auto" w:sz="4" w:space="0"/>
              <w:right w:val="single" w:color="auto" w:sz="4" w:space="0"/>
            </w:tcBorders>
            <w:vAlign w:val="center"/>
          </w:tcPr>
          <w:p w14:paraId="4289AC7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20</w:t>
            </w:r>
          </w:p>
        </w:tc>
        <w:tc>
          <w:tcPr>
            <w:tcW w:w="1161" w:type="dxa"/>
            <w:tcBorders>
              <w:top w:val="single" w:color="auto" w:sz="4" w:space="0"/>
              <w:left w:val="single" w:color="auto" w:sz="4" w:space="0"/>
              <w:right w:val="single" w:color="auto" w:sz="4" w:space="0"/>
            </w:tcBorders>
          </w:tcPr>
          <w:p w14:paraId="69F88647">
            <w:pPr>
              <w:keepNext w:val="0"/>
              <w:keepLines w:val="0"/>
              <w:pageBreakBefore w:val="0"/>
              <w:widowControl w:val="0"/>
              <w:kinsoku/>
              <w:wordWrap/>
              <w:overflowPunct/>
              <w:topLinePunct w:val="0"/>
              <w:autoSpaceDE/>
              <w:autoSpaceDN/>
              <w:bidi w:val="0"/>
              <w:adjustRightInd/>
              <w:snapToGrid/>
              <w:spacing w:line="360" w:lineRule="exact"/>
              <w:ind w:left="0" w:right="0" w:firstLine="0"/>
              <w:outlineLvl w:val="9"/>
              <w:rPr>
                <w:rFonts w:hint="eastAsia" w:ascii="仿宋_GB2312" w:hAnsi="仿宋_GB2312" w:eastAsia="方正仿宋_GBK" w:cs="仿宋_GB2312"/>
                <w:b/>
                <w:i w:val="0"/>
                <w:color w:val="000000"/>
                <w:kern w:val="0"/>
                <w:sz w:val="24"/>
                <w:szCs w:val="24"/>
                <w:u w:val="none"/>
                <w:vertAlign w:val="baseline"/>
                <w:lang w:val="en-US" w:eastAsia="zh-CN"/>
              </w:rPr>
            </w:pPr>
          </w:p>
        </w:tc>
      </w:tr>
      <w:tr w14:paraId="569F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72" w:type="dxa"/>
            <w:tcBorders>
              <w:top w:val="single" w:color="auto" w:sz="4" w:space="0"/>
              <w:left w:val="single" w:color="auto" w:sz="4" w:space="0"/>
              <w:right w:val="single" w:color="auto" w:sz="4" w:space="0"/>
            </w:tcBorders>
            <w:vAlign w:val="center"/>
          </w:tcPr>
          <w:p w14:paraId="6984FB7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3</w:t>
            </w:r>
          </w:p>
        </w:tc>
        <w:tc>
          <w:tcPr>
            <w:tcW w:w="1283" w:type="dxa"/>
            <w:tcBorders>
              <w:top w:val="single" w:color="auto" w:sz="4" w:space="0"/>
              <w:left w:val="single" w:color="auto" w:sz="4" w:space="0"/>
              <w:right w:val="single" w:color="auto" w:sz="4" w:space="0"/>
            </w:tcBorders>
            <w:vAlign w:val="center"/>
          </w:tcPr>
          <w:p w14:paraId="76EAB933">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基础条件</w:t>
            </w:r>
          </w:p>
        </w:tc>
        <w:tc>
          <w:tcPr>
            <w:tcW w:w="9381" w:type="dxa"/>
            <w:tcBorders>
              <w:top w:val="single" w:color="auto" w:sz="4" w:space="0"/>
              <w:left w:val="single" w:color="auto" w:sz="4" w:space="0"/>
              <w:right w:val="single" w:color="auto" w:sz="4" w:space="0"/>
            </w:tcBorders>
            <w:shd w:val="clear" w:color="auto" w:fill="auto"/>
            <w:vAlign w:val="center"/>
          </w:tcPr>
          <w:p w14:paraId="4A18B022">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0"/>
              <w:jc w:val="left"/>
              <w:textAlignment w:val="center"/>
              <w:outlineLvl w:val="9"/>
              <w:rPr>
                <w:rFonts w:hint="eastAsia" w:ascii="仿宋_GB2312" w:hAnsi="仿宋_GB2312" w:eastAsia="方正仿宋_GBK" w:cs="仿宋_GB2312"/>
                <w:b/>
                <w:i w:val="0"/>
                <w:color w:val="000000"/>
                <w:kern w:val="0"/>
                <w:sz w:val="24"/>
                <w:szCs w:val="24"/>
                <w:u w:val="none"/>
                <w:vertAlign w:val="baseline"/>
                <w:lang w:val="en-US" w:eastAsia="zh-CN"/>
              </w:rPr>
            </w:pPr>
            <w:r>
              <w:rPr>
                <w:rFonts w:hint="eastAsia" w:ascii="仿宋_GB2312" w:hAnsi="仿宋_GB2312" w:eastAsia="方正仿宋_GBK" w:cs="仿宋_GB2312"/>
                <w:i w:val="0"/>
                <w:color w:val="000000"/>
                <w:kern w:val="0"/>
                <w:sz w:val="24"/>
                <w:szCs w:val="24"/>
                <w:u w:val="none"/>
                <w:lang w:val="en-US" w:eastAsia="zh-CN"/>
              </w:rPr>
              <w:t>具有从事生产的料场、地磅、库棚、消防器材等，有生产所需的机械设备及加工车间（2000平方米以上）等，有产品检测报告及上年度销售业绩（1000吨以上）。佐证资料齐全得20分，每差一项扣5分。</w:t>
            </w:r>
          </w:p>
        </w:tc>
        <w:tc>
          <w:tcPr>
            <w:tcW w:w="1163" w:type="dxa"/>
            <w:tcBorders>
              <w:top w:val="single" w:color="auto" w:sz="4" w:space="0"/>
              <w:left w:val="single" w:color="auto" w:sz="4" w:space="0"/>
              <w:right w:val="single" w:color="auto" w:sz="4" w:space="0"/>
            </w:tcBorders>
            <w:vAlign w:val="center"/>
          </w:tcPr>
          <w:p w14:paraId="5FBBD61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20</w:t>
            </w:r>
          </w:p>
        </w:tc>
        <w:tc>
          <w:tcPr>
            <w:tcW w:w="1161" w:type="dxa"/>
            <w:tcBorders>
              <w:top w:val="single" w:color="auto" w:sz="4" w:space="0"/>
              <w:left w:val="single" w:color="auto" w:sz="4" w:space="0"/>
              <w:right w:val="single" w:color="auto" w:sz="4" w:space="0"/>
            </w:tcBorders>
          </w:tcPr>
          <w:p w14:paraId="34488CDE">
            <w:pPr>
              <w:keepNext w:val="0"/>
              <w:keepLines w:val="0"/>
              <w:pageBreakBefore w:val="0"/>
              <w:widowControl w:val="0"/>
              <w:kinsoku/>
              <w:wordWrap/>
              <w:overflowPunct/>
              <w:topLinePunct w:val="0"/>
              <w:autoSpaceDE/>
              <w:autoSpaceDN/>
              <w:bidi w:val="0"/>
              <w:adjustRightInd/>
              <w:snapToGrid/>
              <w:spacing w:line="360" w:lineRule="exact"/>
              <w:ind w:left="0" w:right="0" w:firstLine="0"/>
              <w:outlineLvl w:val="9"/>
              <w:rPr>
                <w:rFonts w:hint="eastAsia" w:ascii="仿宋_GB2312" w:hAnsi="仿宋_GB2312" w:eastAsia="方正仿宋_GBK" w:cs="仿宋_GB2312"/>
                <w:b/>
                <w:i w:val="0"/>
                <w:color w:val="000000"/>
                <w:kern w:val="0"/>
                <w:sz w:val="24"/>
                <w:szCs w:val="24"/>
                <w:u w:val="none"/>
                <w:vertAlign w:val="baseline"/>
                <w:lang w:val="en-US" w:eastAsia="zh-CN"/>
              </w:rPr>
            </w:pPr>
          </w:p>
        </w:tc>
      </w:tr>
      <w:tr w14:paraId="449C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72" w:type="dxa"/>
            <w:tcBorders>
              <w:top w:val="single" w:color="auto" w:sz="4" w:space="0"/>
              <w:left w:val="single" w:color="auto" w:sz="4" w:space="0"/>
              <w:right w:val="single" w:color="auto" w:sz="4" w:space="0"/>
            </w:tcBorders>
            <w:vAlign w:val="center"/>
          </w:tcPr>
          <w:p w14:paraId="08F15A0E">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4</w:t>
            </w:r>
          </w:p>
        </w:tc>
        <w:tc>
          <w:tcPr>
            <w:tcW w:w="1283" w:type="dxa"/>
            <w:tcBorders>
              <w:top w:val="single" w:color="auto" w:sz="4" w:space="0"/>
              <w:left w:val="single" w:color="auto" w:sz="4" w:space="0"/>
              <w:right w:val="single" w:color="auto" w:sz="4" w:space="0"/>
            </w:tcBorders>
            <w:vAlign w:val="center"/>
          </w:tcPr>
          <w:p w14:paraId="3420ACE8">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实施方案</w:t>
            </w:r>
          </w:p>
        </w:tc>
        <w:tc>
          <w:tcPr>
            <w:tcW w:w="9381" w:type="dxa"/>
            <w:tcBorders>
              <w:top w:val="single" w:color="auto" w:sz="4" w:space="0"/>
              <w:left w:val="single" w:color="auto" w:sz="4" w:space="0"/>
              <w:right w:val="single" w:color="auto" w:sz="4" w:space="0"/>
            </w:tcBorders>
            <w:shd w:val="clear" w:color="auto" w:fill="auto"/>
            <w:vAlign w:val="center"/>
          </w:tcPr>
          <w:p w14:paraId="2D87C5C6">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0"/>
              <w:jc w:val="left"/>
              <w:textAlignment w:val="center"/>
              <w:outlineLvl w:val="9"/>
              <w:rPr>
                <w:rFonts w:hint="eastAsia" w:ascii="仿宋_GB2312" w:hAnsi="仿宋_GB2312" w:eastAsia="方正仿宋_GBK" w:cs="仿宋_GB2312"/>
                <w:b/>
                <w:i w:val="0"/>
                <w:color w:val="000000"/>
                <w:kern w:val="0"/>
                <w:sz w:val="24"/>
                <w:szCs w:val="24"/>
                <w:u w:val="none"/>
                <w:vertAlign w:val="baseline"/>
                <w:lang w:val="en-US" w:eastAsia="zh-CN"/>
              </w:rPr>
            </w:pPr>
            <w:r>
              <w:rPr>
                <w:rFonts w:hint="eastAsia" w:ascii="仿宋_GB2312" w:hAnsi="仿宋_GB2312" w:eastAsia="方正仿宋_GBK" w:cs="仿宋_GB2312"/>
                <w:i w:val="0"/>
                <w:color w:val="000000"/>
                <w:kern w:val="0"/>
                <w:sz w:val="24"/>
                <w:szCs w:val="24"/>
                <w:u w:val="none"/>
                <w:lang w:val="en-US" w:eastAsia="zh-CN"/>
              </w:rPr>
              <w:t>一是制定作业任务及标准、作业计划、人员配备、完成时限等内容，充分满足得10分，基本满足7分，欠缺得4分，不制定0分。二是制定作业进度、作业质量、安全生产等保障措施，措施切实可行，有针对性，保障性强得10分，保障性一般得7分，保障性差得4分，无保障措施0分。三是制定项目作业应急预案，可行得10分，基本可行得7分，可行性差得4分，不制定0分。四是制定作业服务承诺，服务承诺好得10分，服务承诺一般得7分，服务承诺差得4分，无承诺0分。</w:t>
            </w:r>
          </w:p>
        </w:tc>
        <w:tc>
          <w:tcPr>
            <w:tcW w:w="1163" w:type="dxa"/>
            <w:tcBorders>
              <w:top w:val="single" w:color="auto" w:sz="4" w:space="0"/>
              <w:left w:val="single" w:color="auto" w:sz="4" w:space="0"/>
              <w:right w:val="single" w:color="auto" w:sz="4" w:space="0"/>
            </w:tcBorders>
            <w:vAlign w:val="center"/>
          </w:tcPr>
          <w:p w14:paraId="33EE0A88">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val="0"/>
                <w:bCs/>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40</w:t>
            </w:r>
          </w:p>
        </w:tc>
        <w:tc>
          <w:tcPr>
            <w:tcW w:w="1161" w:type="dxa"/>
            <w:tcBorders>
              <w:top w:val="single" w:color="auto" w:sz="4" w:space="0"/>
              <w:left w:val="single" w:color="auto" w:sz="4" w:space="0"/>
              <w:right w:val="single" w:color="auto" w:sz="4" w:space="0"/>
            </w:tcBorders>
            <w:vAlign w:val="center"/>
          </w:tcPr>
          <w:p w14:paraId="36E7D27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outlineLvl w:val="9"/>
              <w:rPr>
                <w:rFonts w:hint="eastAsia" w:ascii="仿宋_GB2312" w:hAnsi="仿宋_GB2312" w:eastAsia="方正仿宋_GBK" w:cs="仿宋_GB2312"/>
                <w:b/>
                <w:i w:val="0"/>
                <w:color w:val="000000"/>
                <w:kern w:val="0"/>
                <w:sz w:val="24"/>
                <w:szCs w:val="24"/>
                <w:u w:val="none"/>
                <w:vertAlign w:val="baseline"/>
                <w:lang w:val="en-US" w:eastAsia="zh-CN"/>
              </w:rPr>
            </w:pPr>
          </w:p>
        </w:tc>
      </w:tr>
      <w:tr w14:paraId="4300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536" w:type="dxa"/>
            <w:gridSpan w:val="3"/>
            <w:tcBorders>
              <w:top w:val="single" w:color="auto" w:sz="4" w:space="0"/>
              <w:left w:val="single" w:color="auto" w:sz="4" w:space="0"/>
              <w:right w:val="single" w:color="auto" w:sz="4" w:space="0"/>
            </w:tcBorders>
            <w:vAlign w:val="center"/>
          </w:tcPr>
          <w:p w14:paraId="79D14228">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0"/>
              <w:jc w:val="center"/>
              <w:textAlignment w:val="center"/>
              <w:outlineLvl w:val="9"/>
              <w:rPr>
                <w:rFonts w:hint="eastAsia" w:ascii="仿宋_GB2312" w:hAnsi="仿宋_GB2312" w:eastAsia="方正仿宋_GBK" w:cs="仿宋_GB2312"/>
                <w:b/>
                <w:i w:val="0"/>
                <w:color w:val="000000"/>
                <w:kern w:val="0"/>
                <w:sz w:val="24"/>
                <w:szCs w:val="24"/>
                <w:u w:val="none"/>
                <w:vertAlign w:val="baseline"/>
                <w:lang w:val="en-US" w:eastAsia="zh-CN"/>
              </w:rPr>
            </w:pPr>
            <w:r>
              <w:rPr>
                <w:rFonts w:hint="eastAsia" w:ascii="仿宋_GB2312" w:hAnsi="仿宋_GB2312" w:eastAsia="方正仿宋_GBK" w:cs="仿宋_GB2312"/>
                <w:b w:val="0"/>
                <w:bCs/>
                <w:i w:val="0"/>
                <w:color w:val="000000"/>
                <w:kern w:val="0"/>
                <w:sz w:val="24"/>
                <w:szCs w:val="24"/>
                <w:u w:val="none"/>
                <w:vertAlign w:val="baseline"/>
                <w:lang w:val="en-US" w:eastAsia="zh-CN"/>
              </w:rPr>
              <w:t>合   计</w:t>
            </w:r>
          </w:p>
        </w:tc>
        <w:tc>
          <w:tcPr>
            <w:tcW w:w="1163" w:type="dxa"/>
            <w:tcBorders>
              <w:top w:val="single" w:color="auto" w:sz="4" w:space="0"/>
              <w:left w:val="single" w:color="auto" w:sz="4" w:space="0"/>
              <w:right w:val="single" w:color="auto" w:sz="4" w:space="0"/>
            </w:tcBorders>
          </w:tcPr>
          <w:p w14:paraId="69D61349">
            <w:pPr>
              <w:keepNext w:val="0"/>
              <w:keepLines w:val="0"/>
              <w:pageBreakBefore w:val="0"/>
              <w:widowControl w:val="0"/>
              <w:kinsoku/>
              <w:wordWrap/>
              <w:overflowPunct/>
              <w:topLinePunct w:val="0"/>
              <w:autoSpaceDE/>
              <w:autoSpaceDN/>
              <w:bidi w:val="0"/>
              <w:adjustRightInd/>
              <w:snapToGrid/>
              <w:spacing w:line="360" w:lineRule="exact"/>
              <w:ind w:left="0" w:right="0" w:firstLine="0"/>
              <w:outlineLvl w:val="9"/>
              <w:rPr>
                <w:rFonts w:hint="eastAsia" w:ascii="仿宋_GB2312" w:hAnsi="仿宋_GB2312" w:eastAsia="方正仿宋_GBK" w:cs="仿宋_GB2312"/>
                <w:b/>
                <w:i w:val="0"/>
                <w:color w:val="000000"/>
                <w:kern w:val="0"/>
                <w:sz w:val="24"/>
                <w:szCs w:val="24"/>
                <w:u w:val="none"/>
                <w:vertAlign w:val="baseline"/>
                <w:lang w:val="en-US" w:eastAsia="zh-CN"/>
              </w:rPr>
            </w:pPr>
          </w:p>
        </w:tc>
        <w:tc>
          <w:tcPr>
            <w:tcW w:w="1161" w:type="dxa"/>
            <w:tcBorders>
              <w:top w:val="single" w:color="auto" w:sz="4" w:space="0"/>
              <w:left w:val="single" w:color="auto" w:sz="4" w:space="0"/>
              <w:right w:val="single" w:color="auto" w:sz="4" w:space="0"/>
            </w:tcBorders>
          </w:tcPr>
          <w:p w14:paraId="3DB58254">
            <w:pPr>
              <w:keepNext w:val="0"/>
              <w:keepLines w:val="0"/>
              <w:pageBreakBefore w:val="0"/>
              <w:widowControl w:val="0"/>
              <w:kinsoku/>
              <w:wordWrap/>
              <w:overflowPunct/>
              <w:topLinePunct w:val="0"/>
              <w:autoSpaceDE/>
              <w:autoSpaceDN/>
              <w:bidi w:val="0"/>
              <w:adjustRightInd/>
              <w:snapToGrid/>
              <w:spacing w:line="360" w:lineRule="exact"/>
              <w:ind w:left="0" w:right="0" w:firstLine="0"/>
              <w:outlineLvl w:val="9"/>
              <w:rPr>
                <w:rFonts w:hint="eastAsia" w:ascii="仿宋_GB2312" w:hAnsi="仿宋_GB2312" w:eastAsia="方正仿宋_GBK" w:cs="仿宋_GB2312"/>
                <w:b/>
                <w:i w:val="0"/>
                <w:color w:val="000000"/>
                <w:kern w:val="0"/>
                <w:sz w:val="24"/>
                <w:szCs w:val="24"/>
                <w:u w:val="none"/>
                <w:vertAlign w:val="baseline"/>
                <w:lang w:val="en-US" w:eastAsia="zh-CN"/>
              </w:rPr>
            </w:pPr>
          </w:p>
        </w:tc>
      </w:tr>
    </w:tbl>
    <w:p w14:paraId="07452A3A">
      <w:pPr>
        <w:keepNext w:val="0"/>
        <w:keepLines w:val="0"/>
        <w:pageBreakBefore w:val="0"/>
        <w:widowControl/>
        <w:suppressLineNumbers w:val="0"/>
        <w:kinsoku/>
        <w:wordWrap/>
        <w:overflowPunct/>
        <w:topLinePunct w:val="0"/>
        <w:autoSpaceDE/>
        <w:autoSpaceDN/>
        <w:bidi w:val="0"/>
        <w:adjustRightInd/>
        <w:snapToGrid/>
        <w:spacing w:line="360" w:lineRule="exact"/>
        <w:ind w:left="0" w:right="0" w:firstLine="480" w:firstLineChars="200"/>
        <w:jc w:val="left"/>
        <w:textAlignment w:val="center"/>
        <w:outlineLvl w:val="9"/>
        <w:rPr>
          <w:rFonts w:hint="eastAsia" w:ascii="仿宋_GB2312" w:hAnsi="仿宋_GB2312" w:eastAsia="仿宋_GB2312" w:cs="仿宋_GB2312"/>
          <w:lang w:val="en-US"/>
        </w:rPr>
      </w:pPr>
      <w:r>
        <w:rPr>
          <w:rFonts w:hint="eastAsia" w:ascii="仿宋_GB2312" w:hAnsi="仿宋_GB2312" w:eastAsia="方正仿宋_GBK" w:cs="仿宋_GB2312"/>
          <w:i w:val="0"/>
          <w:color w:val="000000"/>
          <w:kern w:val="0"/>
          <w:sz w:val="24"/>
          <w:szCs w:val="24"/>
          <w:u w:val="none"/>
          <w:lang w:val="en-US" w:eastAsia="zh-CN"/>
        </w:rPr>
        <w:t xml:space="preserve">评审人员签字：  </w:t>
      </w:r>
      <w:r>
        <w:rPr>
          <w:rFonts w:hint="eastAsia" w:ascii="仿宋" w:hAnsi="仿宋" w:eastAsia="仿宋" w:cs="仿宋"/>
          <w:i w:val="0"/>
          <w:color w:val="000000"/>
          <w:kern w:val="0"/>
          <w:sz w:val="28"/>
          <w:szCs w:val="28"/>
          <w:u w:val="none"/>
          <w:lang w:val="en-US" w:eastAsia="zh-CN"/>
        </w:rPr>
        <w:t xml:space="preserve">                                                         </w:t>
      </w:r>
    </w:p>
    <w:sectPr>
      <w:headerReference r:id="rId4" w:type="default"/>
      <w:footerReference r:id="rId5" w:type="default"/>
      <w:pgSz w:w="16838" w:h="11906" w:orient="landscape"/>
      <w:pgMar w:top="1803" w:right="1440" w:bottom="1803" w:left="1440" w:header="851" w:footer="992" w:gutter="0"/>
      <w:cols w:space="720" w:num="1"/>
      <w:rtlGutter w:val="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Bliss Light">
    <w:altName w:val="Arial"/>
    <w:panose1 w:val="02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EE6FB">
    <w:pPr>
      <w:pStyle w:val="12"/>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6350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63550" cy="131559"/>
                      </a:xfrm>
                      <a:prstGeom prst="rect">
                        <a:avLst/>
                      </a:prstGeom>
                      <a:noFill/>
                      <a:ln w="6350" cap="flat" cmpd="sng">
                        <a:noFill/>
                        <a:prstDash val="solid"/>
                        <a:round/>
                      </a:ln>
                    </wps:spPr>
                    <wps:txbx>
                      <w:txbxContent>
                        <w:p w14:paraId="52CAEBF6">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5pt;mso-position-horizontal:right;mso-position-horizontal-relative:margin;mso-wrap-style:none;z-index:251659264;mso-width-relative:page;mso-height-relative:page;" filled="f" stroked="f" coordsize="21600,21600" o:gfxdata="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2KxNUAAAADAQAADwAAAAAAAAABACAAAAAiAAAAZHJzL2Rvd25yZXYu&#10;eG1sUEsBAhQAFAAAAAgAh07iQKddUqP+AQAA8wMAAA4AAAAAAAAAAQAgAAAAJAEAAGRycy9lMm9E&#10;b2MueG1sUEsFBgAAAAAGAAYAWQEAAJQFAAAAAA==&#10;">
              <v:fill on="f" focussize="0,0"/>
              <v:stroke on="f" weight="0.5pt" joinstyle="round"/>
              <v:imagedata o:title=""/>
              <o:lock v:ext="edit" aspectratio="f"/>
              <v:textbox inset="0mm,0mm,0mm,0mm" style="mso-fit-shape-to-text:t;">
                <w:txbxContent>
                  <w:p w14:paraId="52CAEBF6">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B4FC">
    <w:pPr>
      <w:spacing w:line="14" w:lineRule="auto"/>
      <w:rPr>
        <w:rFonts w:ascii="新宋体" w:hAnsi="新宋体"/>
        <w:sz w:val="2"/>
      </w:rPr>
    </w:pPr>
    <w:r>
      <w:rPr>
        <w:sz w:val="2"/>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3500" cy="131445"/>
              <wp:effectExtent l="0" t="0" r="0" b="0"/>
              <wp:wrapNone/>
              <wp:docPr id="6" name="文本框 1057"/>
              <wp:cNvGraphicFramePr/>
              <a:graphic xmlns:a="http://schemas.openxmlformats.org/drawingml/2006/main">
                <a:graphicData uri="http://schemas.microsoft.com/office/word/2010/wordprocessingShape">
                  <wps:wsp>
                    <wps:cNvSpPr/>
                    <wps:spPr>
                      <a:xfrm>
                        <a:off x="0" y="0"/>
                        <a:ext cx="63550" cy="131559"/>
                      </a:xfrm>
                      <a:prstGeom prst="rect">
                        <a:avLst/>
                      </a:prstGeom>
                      <a:noFill/>
                      <a:ln w="9525" cap="flat" cmpd="sng">
                        <a:noFill/>
                        <a:prstDash val="solid"/>
                        <a:round/>
                      </a:ln>
                    </wps:spPr>
                    <wps:txbx>
                      <w:txbxContent>
                        <w:p w14:paraId="173896B9">
                          <w:pPr>
                            <w:pStyle w:val="12"/>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1">
                      <a:spAutoFit/>
                    </wps:bodyPr>
                  </wps:wsp>
                </a:graphicData>
              </a:graphic>
            </wp:anchor>
          </w:drawing>
        </mc:Choice>
        <mc:Fallback>
          <w:pict>
            <v:rect id="文本框 1057" o:spid="_x0000_s1026" o:spt="1" style="position:absolute;left:0pt;margin-top:0pt;height:10.35pt;width:5pt;mso-position-horizontal:center;mso-position-horizontal-relative:margin;mso-wrap-style:none;z-index:251659264;mso-width-relative:page;mso-height-relative:page;" filled="f" stroked="f" coordsize="21600,21600" o:gfxdata="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1M8aHQAAAAAwEAAA8AAAAAAAAAAQAgAAAAIgAAAGRycy9kb3ducmV2&#10;LnhtbFBLAQIUABQAAAAIAIdO4kAH4fpuBAIAAPYDAAAOAAAAAAAAAAEAIAAAAB8BAABkcnMvZTJv&#10;RG9jLnhtbFBLBQYAAAAABgAGAFkBAACVBQAAAAA=&#10;">
              <v:fill on="f" focussize="0,0"/>
              <v:stroke on="f" joinstyle="round"/>
              <v:imagedata o:title=""/>
              <o:lock v:ext="edit" aspectratio="f"/>
              <v:textbox inset="0mm,0mm,0mm,0mm" style="mso-fit-shape-to-text:t;">
                <w:txbxContent>
                  <w:p w14:paraId="173896B9">
                    <w:pPr>
                      <w:pStyle w:val="12"/>
                    </w:pPr>
                    <w:r>
                      <w:fldChar w:fldCharType="begin"/>
                    </w:r>
                    <w:r>
                      <w:instrText xml:space="preserve"> PAGE  \* MERGEFORMAT </w:instrText>
                    </w:r>
                    <w:r>
                      <w:fldChar w:fldCharType="separate"/>
                    </w:r>
                    <w:r>
                      <w:t>49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909FD">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60"/>
  <w:drawingGridVerticalSpacing w:val="218"/>
  <w:displayHorizontalDrawingGridEvery w:val="1"/>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jM5ZDkzYTY3YmNiOGZhMmE1NzA1Njc1NjNiMjZkODgifQ=="/>
  </w:docVars>
  <w:rsids>
    <w:rsidRoot w:val="00000000"/>
    <w:rsid w:val="302E57A8"/>
    <w:rsid w:val="5FA5106F"/>
    <w:rsid w:val="644150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imes New Roman" w:eastAsia="宋体" w:cs="仿宋"/>
      <w:kern w:val="0"/>
      <w:sz w:val="32"/>
      <w:szCs w:val="3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3" w:lineRule="auto"/>
      <w:outlineLvl w:val="1"/>
    </w:pPr>
    <w:rPr>
      <w:rFonts w:ascii="Arial" w:hAnsi="Arial" w:eastAsia="黑体"/>
      <w:b/>
      <w:kern w:val="2"/>
      <w:sz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0"/>
    <w:pPr>
      <w:keepNext/>
      <w:keepLines/>
      <w:widowControl w:val="0"/>
      <w:spacing w:line="377" w:lineRule="auto"/>
      <w:outlineLvl w:val="3"/>
    </w:pPr>
    <w:rPr>
      <w:rFonts w:ascii="Arial" w:hAnsi="Arial" w:eastAsia="黑体"/>
      <w:b/>
      <w:bCs/>
      <w:sz w:val="28"/>
      <w:szCs w:val="28"/>
    </w:rPr>
  </w:style>
  <w:style w:type="character" w:default="1" w:styleId="18">
    <w:name w:val="Default Paragraph Font"/>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Times New Roman" w:hAnsi="仿宋" w:eastAsia="黑体" w:cs="Times New Roman"/>
      <w:b/>
      <w:szCs w:val="32"/>
    </w:rPr>
  </w:style>
  <w:style w:type="paragraph" w:styleId="3">
    <w:name w:val="Body Text Indent"/>
    <w:basedOn w:val="1"/>
    <w:next w:val="1"/>
    <w:qFormat/>
    <w:uiPriority w:val="0"/>
    <w:pPr>
      <w:spacing w:after="120"/>
      <w:ind w:left="200" w:leftChars="200"/>
    </w:pPr>
  </w:style>
  <w:style w:type="paragraph" w:styleId="8">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9">
    <w:name w:val="Normal Indent"/>
    <w:basedOn w:val="1"/>
    <w:qFormat/>
    <w:uiPriority w:val="0"/>
    <w:pPr>
      <w:spacing w:line="300" w:lineRule="auto"/>
      <w:ind w:firstLine="420"/>
    </w:pPr>
    <w:rPr>
      <w:sz w:val="24"/>
    </w:rPr>
  </w:style>
  <w:style w:type="paragraph" w:styleId="10">
    <w:name w:val="Body Text"/>
    <w:basedOn w:val="1"/>
    <w:next w:val="1"/>
    <w:qFormat/>
    <w:uiPriority w:val="0"/>
    <w:pPr>
      <w:jc w:val="center"/>
    </w:pPr>
    <w:rPr>
      <w:rFonts w:eastAsia="宋体"/>
      <w:b/>
      <w:bCs/>
      <w:kern w:val="2"/>
      <w:sz w:val="44"/>
      <w:szCs w:val="24"/>
      <w:lang w:val="en-US" w:eastAsia="zh-CN" w:bidi="ar-SA"/>
    </w:rPr>
  </w:style>
  <w:style w:type="paragraph" w:styleId="11">
    <w:name w:val="Plain Text"/>
    <w:basedOn w:val="1"/>
    <w:qFormat/>
    <w:uiPriority w:val="0"/>
    <w:rPr>
      <w:rFonts w:ascii="宋体" w:hAnsi="Courier New"/>
      <w:szCs w:val="20"/>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4">
    <w:name w:val="toc 1"/>
    <w:basedOn w:val="15"/>
    <w:next w:val="1"/>
    <w:qFormat/>
    <w:uiPriority w:val="0"/>
    <w:rPr>
      <w:rFonts w:eastAsia="宋体"/>
      <w:bCs/>
      <w:caps/>
      <w:sz w:val="30"/>
      <w:szCs w:val="30"/>
    </w:rPr>
  </w:style>
  <w:style w:type="paragraph" w:styleId="15">
    <w:name w:val="index 1"/>
    <w:basedOn w:val="1"/>
    <w:next w:val="1"/>
    <w:qFormat/>
    <w:uiPriority w:val="0"/>
    <w:rPr>
      <w:rFonts w:eastAsia="仿宋_GB2312"/>
      <w:b/>
      <w:sz w:val="24"/>
    </w:rPr>
  </w:style>
  <w:style w:type="paragraph" w:styleId="16">
    <w:name w:val="Title"/>
    <w:basedOn w:val="1"/>
    <w:next w:val="1"/>
    <w:qFormat/>
    <w:uiPriority w:val="0"/>
    <w:pPr>
      <w:widowControl w:val="0"/>
      <w:spacing w:before="240" w:after="60"/>
      <w:jc w:val="center"/>
      <w:outlineLvl w:val="0"/>
    </w:pPr>
    <w:rPr>
      <w:rFonts w:ascii="Cambria" w:hAnsi="Cambria" w:eastAsia="宋体" w:cs="Times New Roman"/>
      <w:b/>
      <w:bCs/>
      <w:kern w:val="2"/>
      <w:sz w:val="21"/>
      <w:szCs w:val="24"/>
      <w:lang w:val="en-US" w:eastAsia="zh-CN" w:bidi="ar-SA"/>
    </w:rPr>
  </w:style>
  <w:style w:type="paragraph" w:customStyle="1" w:styleId="19">
    <w:name w:val="List Paragraph"/>
    <w:basedOn w:val="1"/>
    <w:qFormat/>
    <w:uiPriority w:val="0"/>
    <w:pPr>
      <w:ind w:firstLine="200" w:firstLineChars="200"/>
    </w:pPr>
  </w:style>
  <w:style w:type="paragraph" w:customStyle="1" w:styleId="20">
    <w:name w:val="KM_Text"/>
    <w:qFormat/>
    <w:uiPriority w:val="0"/>
    <w:pPr>
      <w:spacing w:line="284" w:lineRule="exact"/>
    </w:pPr>
    <w:rPr>
      <w:rFonts w:ascii="Bliss Light" w:hAnsi="Bliss Light" w:eastAsia="宋体" w:cs="Times New Roman"/>
      <w:sz w:val="22"/>
      <w:szCs w:val="22"/>
      <w:lang w:val="de-DE" w:eastAsia="de-DE" w:bidi="ar-SA"/>
    </w:rPr>
  </w:style>
  <w:style w:type="paragraph" w:customStyle="1" w:styleId="21">
    <w:name w:val="正文（首行缩进两字）"/>
    <w:basedOn w:val="1"/>
    <w:qFormat/>
    <w:uiPriority w:val="0"/>
    <w:pPr>
      <w:widowControl w:val="0"/>
      <w:spacing w:line="360" w:lineRule="auto"/>
      <w:ind w:firstLine="200" w:firstLineChars="200"/>
      <w:jc w:val="both"/>
    </w:pPr>
    <w:rPr>
      <w:rFonts w:ascii="Times New Roman" w:hAnsi="Times New Roman" w:eastAsia="宋体"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C34B9-C671-4BB0-9FB6-14BA1B313831}">
  <ds:schemaRefs/>
</ds:datastoreItem>
</file>

<file path=docProps/app.xml><?xml version="1.0" encoding="utf-8"?>
<Properties xmlns="http://schemas.openxmlformats.org/officeDocument/2006/extended-properties" xmlns:vt="http://schemas.openxmlformats.org/officeDocument/2006/docPropsVTypes">
  <Template>Normal.eit</Template>
  <Pages>2</Pages>
  <Words>2032</Words>
  <Characters>2107</Characters>
  <Lines>0</Lines>
  <Paragraphs>63</Paragraphs>
  <TotalTime>11</TotalTime>
  <ScaleCrop>false</ScaleCrop>
  <LinksUpToDate>false</LinksUpToDate>
  <CharactersWithSpaces>2282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2021-01-28T08:15:00Z</dcterms:created>
  <dc:creator>NMJ001</dc:creator>
  <cp:lastModifiedBy>鲜衣怒马少年郎</cp:lastModifiedBy>
  <cp:lastPrinted>2023-09-05T01:03:00Z</cp:lastPrinted>
  <dcterms:modified xsi:type="dcterms:W3CDTF">2024-08-09T07:02:23Z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E497048CEEFE4B46868653EABE7E0A9F_13</vt:lpwstr>
  </property>
</Properties>
</file>