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rPr>
          <w:rStyle w:val="18"/>
          <w:rFonts w:hint="eastAsia" w:ascii="Times New Roman" w:hAnsi="Times New Roman" w:cs="Times New Roman"/>
          <w:color w:val="auto"/>
          <w:spacing w:val="0"/>
          <w:sz w:val="32"/>
          <w:szCs w:val="32"/>
          <w:lang w:val="en-US" w:eastAsia="zh-CN"/>
        </w:rPr>
      </w:pPr>
      <w:r>
        <w:rPr>
          <w:rStyle w:val="18"/>
          <w:rFonts w:hint="eastAsia" w:ascii="仿宋" w:hAnsi="仿宋" w:eastAsia="方正仿宋_GBK" w:cs="仿宋"/>
          <w:b w:val="0"/>
          <w:bCs w:val="0"/>
          <w:color w:val="auto"/>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_GBK" w:cs="Times New Roman"/>
          <w:b w:val="0"/>
          <w:bCs w:val="0"/>
          <w:color w:val="auto"/>
          <w:spacing w:val="0"/>
          <w:sz w:val="44"/>
          <w:szCs w:val="44"/>
          <w:lang w:val="en-US" w:eastAsia="zh-CN"/>
        </w:rPr>
      </w:pPr>
      <w:r>
        <w:rPr>
          <w:rFonts w:hint="eastAsia" w:ascii="Times New Roman" w:hAnsi="Times New Roman" w:eastAsia="方正小标宋_GBK" w:cs="Times New Roman"/>
          <w:b w:val="0"/>
          <w:bCs w:val="0"/>
          <w:color w:val="auto"/>
          <w:spacing w:val="0"/>
          <w:sz w:val="44"/>
          <w:szCs w:val="44"/>
          <w:lang w:val="en-US" w:eastAsia="zh-CN"/>
        </w:rPr>
        <w:t>青铜峡市2024年肉牛</w:t>
      </w:r>
      <w:r>
        <w:rPr>
          <w:rFonts w:hint="default" w:ascii="Times New Roman" w:hAnsi="Times New Roman" w:eastAsia="方正小标宋_GBK" w:cs="Times New Roman"/>
          <w:b w:val="0"/>
          <w:bCs w:val="0"/>
          <w:color w:val="auto"/>
          <w:spacing w:val="0"/>
          <w:sz w:val="44"/>
          <w:szCs w:val="44"/>
          <w:lang w:val="en-US" w:eastAsia="zh-CN"/>
        </w:rPr>
        <w:t>产业提质升级项目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rPr>
          <w:rFonts w:hint="default" w:ascii="Times New Roman" w:hAnsi="Times New Roman" w:eastAsia="方正小标宋_GBK" w:cs="Times New Roman"/>
          <w:b w:val="0"/>
          <w:bCs w:val="0"/>
          <w:color w:val="auto"/>
          <w:spacing w:val="0"/>
          <w:sz w:val="44"/>
          <w:szCs w:val="44"/>
          <w:lang w:val="en-US" w:eastAsia="zh-CN"/>
        </w:rPr>
      </w:pPr>
      <w:r>
        <w:rPr>
          <w:rFonts w:hint="default" w:ascii="Times New Roman" w:hAnsi="Times New Roman" w:eastAsia="方正小标宋_GBK" w:cs="Times New Roman"/>
          <w:b w:val="0"/>
          <w:bCs w:val="0"/>
          <w:color w:val="auto"/>
          <w:spacing w:val="0"/>
          <w:sz w:val="44"/>
          <w:szCs w:val="44"/>
          <w:lang w:val="en-US" w:eastAsia="zh-CN"/>
        </w:rPr>
        <w:t>绩效考核方案</w:t>
      </w:r>
    </w:p>
    <w:p>
      <w:pPr>
        <w:pStyle w:val="13"/>
        <w:keepNext w:val="0"/>
        <w:keepLines w:val="0"/>
        <w:pageBreakBefore w:val="0"/>
        <w:widowControl/>
        <w:kinsoku/>
        <w:wordWrap/>
        <w:overflowPunct/>
        <w:topLinePunct w:val="0"/>
        <w:autoSpaceDE w:val="0"/>
        <w:autoSpaceDN w:val="0"/>
        <w:bidi w:val="0"/>
        <w:adjustRightInd/>
        <w:snapToGrid/>
        <w:spacing w:after="0" w:line="300" w:lineRule="exact"/>
        <w:ind w:left="0" w:leftChars="0" w:right="0" w:rightChars="0" w:firstLine="0" w:firstLineChars="0"/>
        <w:jc w:val="center"/>
        <w:textAlignment w:val="bottom"/>
        <w:rPr>
          <w:rFonts w:ascii="方正小标宋_GBK" w:hAnsi="方正小标宋_GBK" w:eastAsia="方正小标宋_GBK" w:cs="方正小标宋_GBK"/>
          <w:color w:val="auto"/>
          <w:spacing w:val="-6"/>
          <w:kern w:val="21"/>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color w:val="000000"/>
          <w:kern w:val="0"/>
          <w:sz w:val="32"/>
          <w:szCs w:val="32"/>
          <w:lang w:val="en-US" w:eastAsia="zh-CN" w:bidi="ar"/>
        </w:rPr>
        <w:t>按照自治区全面推进预算绩效管理的有关要求，为确保青铜峡市2024年肉牛产业提质升级项目取得实效，特制定本绩效考核方案。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一、绩效评价考核对象与指标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color w:val="000000"/>
          <w:kern w:val="0"/>
          <w:sz w:val="32"/>
          <w:szCs w:val="32"/>
          <w:lang w:val="en-US" w:eastAsia="zh-CN" w:bidi="ar"/>
        </w:rPr>
        <w:t>按照自治区肉牛产业总体项目实施方案，对项目实施主体及单位实行绩效评价和考核。绩效评价重点从项目投入和过程、项目产出、项目效果等方面进行考核。根据实际情况，评价考核共设立三级指标，一级指标2个，二级指标11个，三级指标7个。绩效考核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二、绩效评价和考核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 w:hAnsi="仿宋" w:eastAsia="方正仿宋_GBK" w:cs="仿宋"/>
          <w:color w:val="000000"/>
          <w:kern w:val="0"/>
          <w:sz w:val="32"/>
          <w:szCs w:val="32"/>
          <w:lang w:val="en-US" w:eastAsia="zh-CN" w:bidi="ar"/>
        </w:rPr>
      </w:pPr>
      <w:r>
        <w:rPr>
          <w:rFonts w:hint="eastAsia" w:ascii="楷体" w:hAnsi="楷体" w:eastAsia="楷体" w:cs="楷体"/>
          <w:b/>
          <w:bCs/>
          <w:color w:val="auto"/>
          <w:sz w:val="32"/>
          <w:szCs w:val="32"/>
        </w:rPr>
        <w:t>（一）绩效评价方式。</w:t>
      </w:r>
      <w:r>
        <w:rPr>
          <w:rFonts w:hint="eastAsia" w:ascii="仿宋" w:hAnsi="仿宋" w:eastAsia="方正仿宋_GBK" w:cs="仿宋"/>
          <w:color w:val="000000"/>
          <w:kern w:val="0"/>
          <w:sz w:val="32"/>
          <w:szCs w:val="32"/>
          <w:lang w:val="en-US" w:eastAsia="zh-CN" w:bidi="ar"/>
        </w:rPr>
        <w:t>绩效评价工作分两个层面：一是对项目主体实施情况进行绩效自评，根据项目实施方案确定的目标任务与管理要求等，对下达本地年度绩效目标完成情况进行自我评价，并形成自评报告。自评的内容主要包括项目总体绩效目标、各项绩效指标完成情况以及预算执行情况。对未完成绩效目标或偏离绩效目标较大的项目要分析并说明原因，研究提出改进措施。二是自治区农业农村厅开展综合绩效评价，结合市、县（区）级自评情况，重点对资金管理和使用情况、相关管理制度办法的健全性及执行情况、实现的产出情况、取得的效益情况等方面进行综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方正仿宋_GBK" w:cs="仿宋"/>
          <w:color w:val="000000"/>
          <w:kern w:val="0"/>
          <w:sz w:val="32"/>
          <w:szCs w:val="32"/>
          <w:lang w:val="en-US" w:eastAsia="zh-CN" w:bidi="ar"/>
        </w:rPr>
      </w:pPr>
      <w:r>
        <w:rPr>
          <w:rFonts w:hint="eastAsia" w:ascii="楷体" w:hAnsi="楷体" w:eastAsia="楷体" w:cs="楷体"/>
          <w:b/>
          <w:bCs/>
          <w:color w:val="auto"/>
          <w:sz w:val="32"/>
          <w:szCs w:val="32"/>
        </w:rPr>
        <w:t>（二）评价方式。</w:t>
      </w:r>
      <w:r>
        <w:rPr>
          <w:rFonts w:hint="eastAsia" w:ascii="仿宋" w:hAnsi="仿宋" w:eastAsia="方正仿宋_GBK" w:cs="仿宋"/>
          <w:color w:val="000000"/>
          <w:kern w:val="0"/>
          <w:sz w:val="32"/>
          <w:szCs w:val="32"/>
          <w:lang w:val="en-US" w:eastAsia="zh-CN" w:bidi="ar"/>
        </w:rPr>
        <w:t>评价方式采用组织部门相关人员评价，或通过专家组（5名以上，其中至少含一名正高级职称的专家、两名副高级职称的专家）评审评价，自治区级评价可委托第三方机构评审评价的方式进行，评价必须出具评价报告，绩效评价主体对评价报告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评价办法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b/>
          <w:color w:val="auto"/>
          <w:sz w:val="32"/>
          <w:szCs w:val="32"/>
        </w:rPr>
        <w:t>1.现场打分。</w:t>
      </w:r>
      <w:r>
        <w:rPr>
          <w:rFonts w:hint="eastAsia" w:ascii="仿宋" w:hAnsi="仿宋" w:eastAsia="方正仿宋_GBK" w:cs="仿宋"/>
          <w:color w:val="000000"/>
          <w:kern w:val="0"/>
          <w:sz w:val="32"/>
          <w:szCs w:val="32"/>
          <w:lang w:val="en-US" w:eastAsia="zh-CN" w:bidi="ar"/>
        </w:rPr>
        <w:t>对照《2024年肉牛产业提质升级项目绩效考核指标体系》考核指标进行现场检查和评价打分。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outlineLvl w:val="0"/>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b/>
          <w:bCs/>
          <w:color w:val="000000"/>
          <w:kern w:val="0"/>
          <w:sz w:val="32"/>
          <w:szCs w:val="32"/>
          <w:lang w:val="en-US" w:eastAsia="zh-CN" w:bidi="ar"/>
        </w:rPr>
        <w:t>2.资料核查。</w:t>
      </w:r>
      <w:r>
        <w:rPr>
          <w:rFonts w:hint="eastAsia" w:ascii="仿宋" w:hAnsi="仿宋" w:eastAsia="方正仿宋_GBK" w:cs="仿宋"/>
          <w:color w:val="000000"/>
          <w:kern w:val="0"/>
          <w:sz w:val="32"/>
          <w:szCs w:val="32"/>
          <w:lang w:val="en-US" w:eastAsia="zh-CN" w:bidi="ar"/>
        </w:rPr>
        <w:t>按照《2024年肉牛产业提质升级项目绩效考核指标体系》中的考核内容，采取查阅有关档案资料、佐证材料、现场评价相结合的方式，逐项评价、打分。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方正仿宋_GBK" w:cs="仿宋"/>
          <w:color w:val="000000"/>
          <w:kern w:val="0"/>
          <w:sz w:val="32"/>
          <w:szCs w:val="32"/>
          <w:lang w:val="en-US" w:eastAsia="zh-CN" w:bidi="ar"/>
        </w:rPr>
      </w:pPr>
      <w:r>
        <w:rPr>
          <w:rFonts w:hint="eastAsia" w:ascii="方正楷体_GBK" w:hAnsi="方正楷体_GBK" w:eastAsia="方正楷体_GBK" w:cs="方正楷体_GBK"/>
          <w:b/>
          <w:bCs/>
          <w:color w:val="auto"/>
          <w:sz w:val="32"/>
          <w:szCs w:val="32"/>
        </w:rPr>
        <w:t>（四）综合评价。</w:t>
      </w:r>
      <w:r>
        <w:rPr>
          <w:rFonts w:hint="eastAsia" w:ascii="仿宋" w:hAnsi="仿宋" w:eastAsia="方正仿宋_GBK" w:cs="仿宋"/>
          <w:color w:val="000000"/>
          <w:kern w:val="0"/>
          <w:sz w:val="32"/>
          <w:szCs w:val="32"/>
          <w:lang w:val="en-US" w:eastAsia="zh-CN" w:bidi="ar"/>
        </w:rPr>
        <w:t>项目绩效评价考核分优秀、良好、合格、不合格四个档次。90（含）-100</w:t>
      </w:r>
      <w:bookmarkStart w:id="0" w:name="_GoBack"/>
      <w:bookmarkEnd w:id="0"/>
      <w:r>
        <w:rPr>
          <w:rFonts w:hint="eastAsia" w:ascii="仿宋" w:hAnsi="仿宋" w:eastAsia="方正仿宋_GBK" w:cs="仿宋"/>
          <w:color w:val="000000"/>
          <w:kern w:val="0"/>
          <w:sz w:val="32"/>
          <w:szCs w:val="32"/>
          <w:lang w:val="en-US" w:eastAsia="zh-CN" w:bidi="ar"/>
        </w:rPr>
        <w:t>分为优、80（含）-90分为良、60（含）-80分为中、60分以下为差。考核结果将作为下一年度项目和资金安排的依据。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三、时间安排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color w:val="000000"/>
          <w:kern w:val="0"/>
          <w:sz w:val="32"/>
          <w:szCs w:val="32"/>
          <w:lang w:val="en-US" w:eastAsia="zh-CN" w:bidi="ar"/>
        </w:rPr>
        <w:t>2024年9月底完成项目建设，2024年11月之前，完成项目验收、资金支付，并按照绩效考核要求完成绩效自评，形成自评报告，报送项目工作总结和绩效考核评估报告，连同证明材料报农业农村厅畜牧兽医局和肉牛产业专班，接受自治区农业农村厅组织的资料审查和实地复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四、绩效考核管理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方正仿宋_GBK" w:cs="仿宋"/>
          <w:color w:val="000000"/>
          <w:kern w:val="0"/>
          <w:sz w:val="32"/>
          <w:szCs w:val="32"/>
          <w:lang w:val="en-US" w:eastAsia="zh-CN" w:bidi="ar"/>
        </w:rPr>
      </w:pPr>
      <w:r>
        <w:rPr>
          <w:rFonts w:hint="eastAsia" w:ascii="方正楷体_GBK" w:hAnsi="方正楷体_GBK" w:eastAsia="方正楷体_GBK" w:cs="方正楷体_GBK"/>
          <w:b/>
          <w:bCs/>
          <w:color w:val="auto"/>
          <w:sz w:val="32"/>
          <w:szCs w:val="32"/>
        </w:rPr>
        <w:t>（一）加强组织领导。</w:t>
      </w:r>
      <w:r>
        <w:rPr>
          <w:rFonts w:hint="eastAsia" w:ascii="仿宋" w:hAnsi="仿宋" w:eastAsia="方正仿宋_GBK" w:cs="仿宋"/>
          <w:color w:val="000000"/>
          <w:kern w:val="0"/>
          <w:sz w:val="32"/>
          <w:szCs w:val="32"/>
          <w:lang w:val="en-US" w:eastAsia="zh-CN" w:bidi="ar"/>
        </w:rPr>
        <w:t>要抽调专人成立领导小组，具体负责项目绩效考评工作。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
          <w:bCs/>
          <w:color w:val="auto"/>
          <w:sz w:val="32"/>
          <w:szCs w:val="32"/>
        </w:rPr>
        <w:t>（二）严格绩效考核。</w:t>
      </w:r>
      <w:r>
        <w:rPr>
          <w:rFonts w:hint="eastAsia" w:ascii="仿宋" w:hAnsi="仿宋" w:eastAsia="方正仿宋_GBK" w:cs="仿宋"/>
          <w:color w:val="000000"/>
          <w:kern w:val="0"/>
          <w:sz w:val="32"/>
          <w:szCs w:val="32"/>
          <w:lang w:val="en-US" w:eastAsia="zh-CN" w:bidi="ar"/>
        </w:rPr>
        <w:t>要按照目标任务和项目管理要求，认真开展绩效考核，确保绩效考评工作公开、公正。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方正仿宋_GBK" w:cs="仿宋"/>
          <w:color w:val="000000"/>
          <w:kern w:val="0"/>
          <w:sz w:val="32"/>
          <w:szCs w:val="32"/>
          <w:lang w:val="en-US" w:eastAsia="zh-CN" w:bidi="ar"/>
        </w:rPr>
      </w:pPr>
      <w:r>
        <w:rPr>
          <w:rFonts w:hint="eastAsia" w:ascii="方正楷体_GBK" w:hAnsi="方正楷体_GBK" w:eastAsia="方正楷体_GBK" w:cs="方正楷体_GBK"/>
          <w:b/>
          <w:bCs/>
          <w:color w:val="auto"/>
          <w:sz w:val="32"/>
          <w:szCs w:val="32"/>
        </w:rPr>
        <w:t>（三）加强监督检查。</w:t>
      </w:r>
      <w:r>
        <w:rPr>
          <w:rFonts w:hint="eastAsia" w:ascii="仿宋" w:hAnsi="仿宋" w:eastAsia="方正仿宋_GBK" w:cs="仿宋"/>
          <w:color w:val="000000"/>
          <w:kern w:val="0"/>
          <w:sz w:val="32"/>
          <w:szCs w:val="32"/>
          <w:lang w:val="en-US" w:eastAsia="zh-CN" w:bidi="ar"/>
        </w:rPr>
        <w:t>青铜峡市农业农村局将适时组织对项目实施单位的实施情况进行抽查，对发现问题督促实施主体及时整改，确保项目顺利完成。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方正仿宋_GBK" w:cs="仿宋"/>
          <w:color w:val="000000"/>
          <w:kern w:val="0"/>
          <w:sz w:val="32"/>
          <w:szCs w:val="32"/>
          <w:lang w:val="en-US" w:eastAsia="zh-CN" w:bidi="ar"/>
        </w:rPr>
      </w:pPr>
      <w:r>
        <w:rPr>
          <w:rFonts w:hint="eastAsia" w:ascii="仿宋" w:hAnsi="仿宋" w:eastAsia="方正仿宋_GBK" w:cs="仿宋"/>
          <w:color w:val="000000"/>
          <w:kern w:val="0"/>
          <w:sz w:val="32"/>
          <w:szCs w:val="32"/>
          <w:lang w:val="en-US" w:eastAsia="zh-CN" w:bidi="ar"/>
        </w:rPr>
        <w:t>附表：2024年肉牛产业提质升级项目绩效考核指标体系</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楷体_GB2312" w:hAnsi="楷体_GB2312" w:eastAsia="楷体_GB2312" w:cs="楷体_GB2312"/>
          <w:b/>
          <w:bCs/>
          <w:color w:val="auto"/>
          <w:sz w:val="32"/>
          <w:szCs w:val="32"/>
        </w:rPr>
      </w:pPr>
    </w:p>
    <w:p>
      <w:pPr>
        <w:pStyle w:val="8"/>
        <w:rPr>
          <w:rFonts w:hint="eastAsia" w:ascii="楷体_GB2312" w:hAnsi="楷体_GB2312" w:eastAsia="楷体_GB2312" w:cs="楷体_GB2312"/>
          <w:b/>
          <w:bCs/>
          <w:color w:val="auto"/>
          <w:sz w:val="32"/>
          <w:szCs w:val="32"/>
        </w:rPr>
      </w:pPr>
    </w:p>
    <w:p>
      <w:pPr>
        <w:rPr>
          <w:rFonts w:hint="eastAsia" w:ascii="楷体_GB2312" w:hAnsi="楷体_GB2312" w:eastAsia="楷体_GB2312" w:cs="楷体_GB2312"/>
          <w:b/>
          <w:bCs/>
          <w:color w:val="auto"/>
          <w:sz w:val="32"/>
          <w:szCs w:val="32"/>
        </w:rPr>
      </w:pPr>
    </w:p>
    <w:p>
      <w:pPr>
        <w:adjustRightInd w:val="0"/>
        <w:snapToGrid w:val="0"/>
        <w:spacing w:line="600" w:lineRule="exact"/>
        <w:rPr>
          <w:rFonts w:hint="eastAsia" w:ascii="黑体" w:hAnsi="黑体" w:eastAsia="黑体" w:cs="黑体"/>
          <w:color w:val="auto"/>
          <w:spacing w:val="-6"/>
          <w:sz w:val="32"/>
          <w:szCs w:val="32"/>
          <w:lang w:eastAsia="zh-CN"/>
        </w:rPr>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23" w:charSpace="0"/>
        </w:sect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baseline"/>
        <w:outlineLvl w:val="9"/>
        <w:rPr>
          <w:rFonts w:hint="eastAsia" w:ascii="仿宋" w:hAnsi="仿宋" w:eastAsia="方正仿宋_GBK" w:cs="仿宋"/>
          <w:color w:val="auto"/>
          <w:sz w:val="32"/>
          <w:szCs w:val="32"/>
          <w:lang w:eastAsia="zh-CN"/>
        </w:rPr>
      </w:pPr>
      <w:r>
        <w:rPr>
          <w:rFonts w:hint="eastAsia" w:ascii="仿宋" w:hAnsi="仿宋" w:eastAsia="方正仿宋_GBK" w:cs="仿宋"/>
          <w:color w:val="auto"/>
          <w:sz w:val="32"/>
          <w:szCs w:val="32"/>
        </w:rPr>
        <w:t>附表</w:t>
      </w:r>
      <w:r>
        <w:rPr>
          <w:rFonts w:hint="eastAsia" w:ascii="仿宋" w:hAnsi="仿宋" w:eastAsia="方正仿宋_GBK"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baseline"/>
        <w:rPr>
          <w:rStyle w:val="18"/>
          <w:rFonts w:hint="default" w:ascii="Times New Roman" w:hAnsi="Times New Roman" w:eastAsia="方正小标宋_GBK" w:cs="Times New Roman"/>
          <w:b w:val="0"/>
          <w:i w:val="0"/>
          <w:caps w:val="0"/>
          <w:color w:val="auto"/>
          <w:spacing w:val="0"/>
          <w:w w:val="100"/>
          <w:kern w:val="2"/>
          <w:sz w:val="36"/>
          <w:szCs w:val="36"/>
          <w:lang w:val="en-US" w:eastAsia="zh-CN"/>
        </w:rPr>
      </w:pPr>
      <w:r>
        <w:rPr>
          <w:rStyle w:val="18"/>
          <w:rFonts w:hint="eastAsia" w:ascii="Times New Roman" w:hAnsi="Times New Roman" w:eastAsia="方正小标宋_GBK" w:cs="Times New Roman"/>
          <w:b w:val="0"/>
          <w:i w:val="0"/>
          <w:caps w:val="0"/>
          <w:color w:val="auto"/>
          <w:spacing w:val="0"/>
          <w:w w:val="100"/>
          <w:kern w:val="2"/>
          <w:sz w:val="36"/>
          <w:szCs w:val="36"/>
          <w:lang w:val="en-US" w:eastAsia="zh-CN"/>
        </w:rPr>
        <w:t>2024年</w:t>
      </w:r>
      <w:r>
        <w:rPr>
          <w:rStyle w:val="18"/>
          <w:rFonts w:hint="default" w:ascii="Times New Roman" w:hAnsi="Times New Roman" w:eastAsia="方正小标宋_GBK" w:cs="Times New Roman"/>
          <w:b w:val="0"/>
          <w:i w:val="0"/>
          <w:caps w:val="0"/>
          <w:color w:val="auto"/>
          <w:spacing w:val="0"/>
          <w:w w:val="100"/>
          <w:kern w:val="2"/>
          <w:sz w:val="36"/>
          <w:szCs w:val="36"/>
          <w:lang w:val="en-US" w:eastAsia="zh-CN"/>
        </w:rPr>
        <w:t>肉牛产业提质升级</w:t>
      </w:r>
      <w:r>
        <w:rPr>
          <w:rStyle w:val="18"/>
          <w:rFonts w:hint="eastAsia" w:ascii="Times New Roman" w:hAnsi="Times New Roman" w:eastAsia="方正小标宋_GBK" w:cs="Times New Roman"/>
          <w:b w:val="0"/>
          <w:i w:val="0"/>
          <w:caps w:val="0"/>
          <w:color w:val="auto"/>
          <w:spacing w:val="0"/>
          <w:w w:val="100"/>
          <w:kern w:val="2"/>
          <w:sz w:val="36"/>
          <w:szCs w:val="36"/>
          <w:lang w:val="en-US" w:eastAsia="zh-CN"/>
        </w:rPr>
        <w:t>项目</w:t>
      </w:r>
      <w:r>
        <w:rPr>
          <w:rStyle w:val="18"/>
          <w:rFonts w:hint="default" w:ascii="Times New Roman" w:hAnsi="Times New Roman" w:eastAsia="方正小标宋_GBK" w:cs="Times New Roman"/>
          <w:b w:val="0"/>
          <w:i w:val="0"/>
          <w:caps w:val="0"/>
          <w:color w:val="auto"/>
          <w:spacing w:val="0"/>
          <w:w w:val="100"/>
          <w:kern w:val="2"/>
          <w:sz w:val="36"/>
          <w:szCs w:val="36"/>
          <w:lang w:val="en-US" w:eastAsia="zh-CN"/>
        </w:rPr>
        <w:t>绩效考核指标体系</w:t>
      </w:r>
    </w:p>
    <w:tbl>
      <w:tblPr>
        <w:tblStyle w:val="14"/>
        <w:tblW w:w="9794" w:type="dxa"/>
        <w:jc w:val="center"/>
        <w:tblLayout w:type="fixed"/>
        <w:tblCellMar>
          <w:top w:w="0" w:type="dxa"/>
          <w:left w:w="0" w:type="dxa"/>
          <w:bottom w:w="0" w:type="dxa"/>
          <w:right w:w="0" w:type="dxa"/>
        </w:tblCellMar>
      </w:tblPr>
      <w:tblGrid>
        <w:gridCol w:w="924"/>
        <w:gridCol w:w="966"/>
        <w:gridCol w:w="1160"/>
        <w:gridCol w:w="590"/>
        <w:gridCol w:w="5554"/>
        <w:gridCol w:w="600"/>
      </w:tblGrid>
      <w:tr>
        <w:tblPrEx>
          <w:tblCellMar>
            <w:top w:w="0" w:type="dxa"/>
            <w:left w:w="0" w:type="dxa"/>
            <w:bottom w:w="0" w:type="dxa"/>
            <w:right w:w="0" w:type="dxa"/>
          </w:tblCellMar>
        </w:tblPrEx>
        <w:trPr>
          <w:trHeight w:val="423" w:hRule="atLeast"/>
          <w:jc w:val="center"/>
        </w:trPr>
        <w:tc>
          <w:tcPr>
            <w:tcW w:w="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一级指标</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二级指标</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三级指标</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分值</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评分标准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得分</w:t>
            </w:r>
          </w:p>
        </w:tc>
      </w:tr>
      <w:tr>
        <w:tblPrEx>
          <w:tblCellMar>
            <w:top w:w="0" w:type="dxa"/>
            <w:left w:w="0" w:type="dxa"/>
            <w:bottom w:w="0" w:type="dxa"/>
            <w:right w:w="0" w:type="dxa"/>
          </w:tblCellMar>
        </w:tblPrEx>
        <w:trPr>
          <w:trHeight w:val="333" w:hRule="atLeast"/>
          <w:jc w:val="center"/>
        </w:trPr>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项目管理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32分</w:t>
            </w:r>
            <w:r>
              <w:rPr>
                <w:rFonts w:hint="default" w:ascii="Times New Roman" w:hAnsi="Times New Roman" w:cs="Times New Roman" w:eastAsiaTheme="minorEastAsia"/>
                <w:b w:val="0"/>
                <w:bCs w:val="0"/>
                <w:color w:val="auto"/>
                <w:sz w:val="18"/>
                <w:szCs w:val="18"/>
                <w:lang w:eastAsia="zh-CN"/>
              </w:rPr>
              <w:t>）</w:t>
            </w: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组织领导</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4分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领导协调</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建立工作领导协调机制得1分，职责清晰、任务明确得1分，否则不得分。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576"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技术服务</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建立技术服务机制得1分，服务内容符合当地肉牛产业发展需求得1分，否则不得分。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426"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资金管理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5分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资金使用</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3</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资金管理制度健全得1分，资金使用符合有关要求得2分，存在问题的每发现一处扣1分，扣完为止。</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41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资金到位</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补助资金核发到位得2分，否则不得分。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02"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项目管理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lang w:val="en-US" w:eastAsia="zh-CN"/>
              </w:rPr>
              <w:t>（10分）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实施方案</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4</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制定实施方案并按时报送备案得2分，否则不得分；实施方案符合项目总体思路和原则、可操作性强得2分，存在问题的每发现一处扣1分，扣完为止。</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204"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监督管理</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3</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组织督导检查和绩效评价，工作开展细致到位</w:t>
            </w:r>
            <w:r>
              <w:rPr>
                <w:rFonts w:hint="eastAsia" w:ascii="Times New Roman" w:hAnsi="Times New Roman" w:cs="Times New Roman" w:eastAsiaTheme="minorEastAsia"/>
                <w:b w:val="0"/>
                <w:bCs w:val="0"/>
                <w:color w:val="auto"/>
                <w:sz w:val="18"/>
                <w:szCs w:val="18"/>
                <w:lang w:eastAsia="zh-CN"/>
              </w:rPr>
              <w:t>的</w:t>
            </w:r>
            <w:r>
              <w:rPr>
                <w:rFonts w:hint="default" w:ascii="Times New Roman" w:hAnsi="Times New Roman" w:cs="Times New Roman" w:eastAsiaTheme="minorEastAsia"/>
                <w:b w:val="0"/>
                <w:bCs w:val="0"/>
                <w:color w:val="auto"/>
                <w:sz w:val="18"/>
                <w:szCs w:val="18"/>
              </w:rPr>
              <w:t>3分，存在问题的每发现一处扣1分，扣完为止。</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96"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培训推广</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3</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组织开展技术推广和服务得1分，否则不得分；深入一线指导生产、开展技术培训，服务效果好得2分，否则酌情扣分。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4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宣传总结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5分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宣传报道</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组织媒体进行报道，有关工作被省级媒体正面报道得2分，否则不得分。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204"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经验总结</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3</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能够及时总结成功模式，挖掘亮点、树立典型得2分，按要求及时报送绩效自评报告、工作总结得1分，否则不得分。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1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机制创新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8分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政策联动</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有创新得2分，否则不得分。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6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激发积极性</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有创新得2分，否则不得分。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73"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协调发展</w:t>
            </w:r>
          </w:p>
        </w:tc>
        <w:tc>
          <w:tcPr>
            <w:tcW w:w="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有创新得2分，否则不得分。</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13" w:hRule="atLeast"/>
          <w:jc w:val="center"/>
        </w:trPr>
        <w:tc>
          <w:tcPr>
            <w:tcW w:w="924"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其他创新</w:t>
            </w:r>
          </w:p>
        </w:tc>
        <w:tc>
          <w:tcPr>
            <w:tcW w:w="59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2</w:t>
            </w:r>
          </w:p>
        </w:tc>
        <w:tc>
          <w:tcPr>
            <w:tcW w:w="555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有创新并且取得一定效果、有实例、可复制</w:t>
            </w:r>
            <w:r>
              <w:rPr>
                <w:rFonts w:hint="eastAsia" w:ascii="Times New Roman" w:hAnsi="Times New Roman" w:cs="Times New Roman" w:eastAsiaTheme="minorEastAsia"/>
                <w:b w:val="0"/>
                <w:bCs w:val="0"/>
                <w:color w:val="auto"/>
                <w:sz w:val="18"/>
                <w:szCs w:val="18"/>
                <w:lang w:eastAsia="zh-CN"/>
              </w:rPr>
              <w:t>的</w:t>
            </w:r>
            <w:r>
              <w:rPr>
                <w:rFonts w:hint="default" w:ascii="Times New Roman" w:hAnsi="Times New Roman" w:cs="Times New Roman" w:eastAsiaTheme="minorEastAsia"/>
                <w:b w:val="0"/>
                <w:bCs w:val="0"/>
                <w:color w:val="auto"/>
                <w:sz w:val="18"/>
                <w:szCs w:val="18"/>
              </w:rPr>
              <w:t>2分，否则不得分。</w:t>
            </w:r>
          </w:p>
        </w:tc>
        <w:tc>
          <w:tcPr>
            <w:tcW w:w="6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422" w:hRule="atLeast"/>
          <w:jc w:val="center"/>
        </w:trPr>
        <w:tc>
          <w:tcPr>
            <w:tcW w:w="9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项目绩效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eastAsia="zh-CN"/>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68分</w:t>
            </w:r>
            <w:r>
              <w:rPr>
                <w:rFonts w:hint="default" w:ascii="Times New Roman" w:hAnsi="Times New Roman" w:cs="Times New Roman" w:eastAsiaTheme="minorEastAsia"/>
                <w:b w:val="0"/>
                <w:bCs w:val="0"/>
                <w:color w:val="auto"/>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p>
            <w:pPr>
              <w:pStyle w:val="1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default" w:ascii="Times New Roman" w:hAnsi="Times New Roman" w:cs="Times New Roman" w:eastAsiaTheme="minorEastAsia"/>
                <w:b w:val="0"/>
                <w:bCs w:val="0"/>
                <w:color w:val="auto"/>
                <w:sz w:val="18"/>
                <w:szCs w:val="18"/>
              </w:rPr>
            </w:pP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数量指标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35分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数字化牧场</w:t>
            </w:r>
          </w:p>
        </w:tc>
        <w:tc>
          <w:tcPr>
            <w:tcW w:w="59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eastAsia" w:ascii="Times New Roman" w:hAnsi="Times New Roman" w:cs="Times New Roman" w:eastAsiaTheme="minorEastAsia"/>
                <w:b w:val="0"/>
                <w:bCs w:val="0"/>
                <w:color w:val="auto"/>
                <w:sz w:val="18"/>
                <w:szCs w:val="18"/>
                <w:lang w:val="en-US" w:eastAsia="zh-CN"/>
              </w:rPr>
              <w:t>20</w:t>
            </w:r>
          </w:p>
        </w:tc>
        <w:tc>
          <w:tcPr>
            <w:tcW w:w="55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建设数量达到目标任务</w:t>
            </w:r>
            <w:r>
              <w:rPr>
                <w:rFonts w:hint="eastAsia" w:ascii="Times New Roman" w:hAnsi="Times New Roman" w:cs="Times New Roman" w:eastAsiaTheme="minorEastAsia"/>
                <w:b w:val="0"/>
                <w:bCs w:val="0"/>
                <w:color w:val="auto"/>
                <w:sz w:val="18"/>
                <w:szCs w:val="18"/>
                <w:lang w:eastAsia="zh-CN"/>
              </w:rPr>
              <w:t>的</w:t>
            </w:r>
            <w:r>
              <w:rPr>
                <w:rFonts w:hint="eastAsia" w:ascii="Times New Roman" w:hAnsi="Times New Roman" w:cs="Times New Roman" w:eastAsiaTheme="minorEastAsia"/>
                <w:b w:val="0"/>
                <w:bCs w:val="0"/>
                <w:color w:val="auto"/>
                <w:sz w:val="18"/>
                <w:szCs w:val="18"/>
                <w:lang w:val="en-US" w:eastAsia="zh-CN"/>
              </w:rPr>
              <w:t>20</w:t>
            </w:r>
            <w:r>
              <w:rPr>
                <w:rFonts w:hint="default" w:ascii="Times New Roman" w:hAnsi="Times New Roman" w:cs="Times New Roman" w:eastAsiaTheme="minorEastAsia"/>
                <w:b w:val="0"/>
                <w:bCs w:val="0"/>
                <w:color w:val="auto"/>
                <w:sz w:val="18"/>
                <w:szCs w:val="18"/>
              </w:rPr>
              <w:t>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208" w:hRule="atLeast"/>
          <w:jc w:val="center"/>
        </w:trPr>
        <w:tc>
          <w:tcPr>
            <w:tcW w:w="924" w:type="dxa"/>
            <w:vMerge w:val="continue"/>
            <w:tcBorders>
              <w:left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default" w:ascii="Times New Roman" w:hAnsi="Times New Roman" w:cs="Times New Roman" w:eastAsiaTheme="minorEastAsia"/>
                <w:b w:val="0"/>
                <w:bCs w:val="0"/>
                <w:color w:val="auto"/>
                <w:sz w:val="18"/>
                <w:szCs w:val="1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lang w:val="en-US" w:eastAsia="zh-CN"/>
              </w:rPr>
              <w:t>肉牛补栏出栏及产品销售</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eastAsia" w:ascii="Times New Roman" w:hAnsi="Times New Roman" w:cs="Times New Roman" w:eastAsiaTheme="minorEastAsia"/>
                <w:b w:val="0"/>
                <w:bCs w:val="0"/>
                <w:color w:val="auto"/>
                <w:sz w:val="18"/>
                <w:szCs w:val="18"/>
                <w:lang w:val="en-US" w:eastAsia="zh-CN"/>
              </w:rPr>
              <w:t>15</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达到目标任务</w:t>
            </w:r>
            <w:r>
              <w:rPr>
                <w:rFonts w:hint="eastAsia" w:ascii="Times New Roman" w:hAnsi="Times New Roman" w:cs="Times New Roman" w:eastAsiaTheme="minorEastAsia"/>
                <w:b w:val="0"/>
                <w:bCs w:val="0"/>
                <w:color w:val="auto"/>
                <w:sz w:val="18"/>
                <w:szCs w:val="18"/>
                <w:lang w:eastAsia="zh-CN"/>
              </w:rPr>
              <w:t>的</w:t>
            </w:r>
            <w:r>
              <w:rPr>
                <w:rFonts w:hint="eastAsia" w:ascii="Times New Roman" w:hAnsi="Times New Roman" w:cs="Times New Roman" w:eastAsiaTheme="minorEastAsia"/>
                <w:b w:val="0"/>
                <w:bCs w:val="0"/>
                <w:color w:val="auto"/>
                <w:sz w:val="18"/>
                <w:szCs w:val="18"/>
                <w:lang w:val="en-US" w:eastAsia="zh-CN"/>
              </w:rPr>
              <w:t>15</w:t>
            </w:r>
            <w:r>
              <w:rPr>
                <w:rFonts w:hint="default" w:ascii="Times New Roman" w:hAnsi="Times New Roman" w:cs="Times New Roman" w:eastAsiaTheme="minorEastAsia"/>
                <w:b w:val="0"/>
                <w:bCs w:val="0"/>
                <w:color w:val="auto"/>
                <w:sz w:val="18"/>
                <w:szCs w:val="18"/>
              </w:rPr>
              <w:t>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475" w:hRule="atLeast"/>
          <w:jc w:val="center"/>
        </w:trPr>
        <w:tc>
          <w:tcPr>
            <w:tcW w:w="9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质量指标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20分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lang w:eastAsia="zh-CN"/>
              </w:rPr>
              <w:t>数字化牧场</w:t>
            </w:r>
          </w:p>
        </w:tc>
        <w:tc>
          <w:tcPr>
            <w:tcW w:w="59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eastAsia" w:ascii="Times New Roman" w:hAnsi="Times New Roman" w:cs="Times New Roman" w:eastAsiaTheme="minorEastAsia"/>
                <w:b w:val="0"/>
                <w:bCs w:val="0"/>
                <w:color w:val="auto"/>
                <w:sz w:val="18"/>
                <w:szCs w:val="18"/>
                <w:lang w:val="en-US" w:eastAsia="zh-CN"/>
              </w:rPr>
              <w:t>20</w:t>
            </w:r>
          </w:p>
        </w:tc>
        <w:tc>
          <w:tcPr>
            <w:tcW w:w="555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建设与养殖量适应</w:t>
            </w:r>
            <w:r>
              <w:rPr>
                <w:rFonts w:hint="default" w:ascii="Times New Roman" w:hAnsi="Times New Roman" w:cs="Times New Roman" w:eastAsiaTheme="minorEastAsia"/>
                <w:b w:val="0"/>
                <w:bCs w:val="0"/>
                <w:color w:val="auto"/>
                <w:sz w:val="18"/>
                <w:szCs w:val="18"/>
                <w:lang w:eastAsia="zh-CN"/>
              </w:rPr>
              <w:t>设施</w:t>
            </w:r>
            <w:r>
              <w:rPr>
                <w:rFonts w:hint="default" w:ascii="Times New Roman" w:hAnsi="Times New Roman" w:cs="Times New Roman" w:eastAsiaTheme="minorEastAsia"/>
                <w:b w:val="0"/>
                <w:bCs w:val="0"/>
                <w:color w:val="auto"/>
                <w:sz w:val="18"/>
                <w:szCs w:val="18"/>
              </w:rPr>
              <w:t>，</w:t>
            </w:r>
            <w:r>
              <w:rPr>
                <w:rFonts w:hint="default" w:ascii="Times New Roman" w:hAnsi="Times New Roman" w:cs="Times New Roman" w:eastAsiaTheme="minorEastAsia"/>
                <w:b w:val="0"/>
                <w:bCs w:val="0"/>
                <w:color w:val="auto"/>
                <w:sz w:val="18"/>
                <w:szCs w:val="18"/>
                <w:lang w:eastAsia="zh-CN"/>
              </w:rPr>
              <w:t>配套</w:t>
            </w:r>
            <w:r>
              <w:rPr>
                <w:rFonts w:hint="default" w:ascii="Times New Roman" w:hAnsi="Times New Roman" w:cs="Times New Roman" w:eastAsiaTheme="minorEastAsia"/>
                <w:b w:val="0"/>
                <w:bCs w:val="0"/>
                <w:color w:val="auto"/>
                <w:sz w:val="18"/>
                <w:szCs w:val="18"/>
              </w:rPr>
              <w:t>信息管理平台、精准饲喂系统、育肥牛体重智能监测系统、智能发情监测系统</w:t>
            </w:r>
            <w:r>
              <w:rPr>
                <w:rFonts w:hint="default" w:ascii="Times New Roman" w:hAnsi="Times New Roman" w:cs="Times New Roman" w:eastAsiaTheme="minorEastAsia"/>
                <w:b w:val="0"/>
                <w:bCs w:val="0"/>
                <w:color w:val="auto"/>
                <w:sz w:val="18"/>
                <w:szCs w:val="18"/>
                <w:lang w:eastAsia="zh-CN"/>
              </w:rPr>
              <w:t>等</w:t>
            </w:r>
            <w:r>
              <w:rPr>
                <w:rFonts w:hint="default" w:ascii="Times New Roman" w:hAnsi="Times New Roman" w:cs="Times New Roman" w:eastAsiaTheme="minorEastAsia"/>
                <w:b w:val="0"/>
                <w:bCs w:val="0"/>
                <w:color w:val="auto"/>
                <w:sz w:val="18"/>
                <w:szCs w:val="18"/>
              </w:rPr>
              <w:t>，得</w:t>
            </w:r>
            <w:r>
              <w:rPr>
                <w:rFonts w:hint="eastAsia" w:ascii="Times New Roman" w:hAnsi="Times New Roman" w:cs="Times New Roman" w:eastAsiaTheme="minorEastAsia"/>
                <w:b w:val="0"/>
                <w:bCs w:val="0"/>
                <w:color w:val="auto"/>
                <w:sz w:val="18"/>
                <w:szCs w:val="18"/>
                <w:lang w:val="en-US" w:eastAsia="zh-CN"/>
              </w:rPr>
              <w:t>20</w:t>
            </w:r>
            <w:r>
              <w:rPr>
                <w:rFonts w:hint="default" w:ascii="Times New Roman" w:hAnsi="Times New Roman" w:cs="Times New Roman" w:eastAsiaTheme="minorEastAsia"/>
                <w:b w:val="0"/>
                <w:bCs w:val="0"/>
                <w:color w:val="auto"/>
                <w:sz w:val="18"/>
                <w:szCs w:val="18"/>
              </w:rPr>
              <w:t>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33" w:hRule="atLeast"/>
          <w:jc w:val="center"/>
        </w:trPr>
        <w:tc>
          <w:tcPr>
            <w:tcW w:w="9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经济效益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6分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存栏效益</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lang w:val="en-US" w:eastAsia="zh-CN"/>
              </w:rPr>
              <w:t>3</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存栏较项目实施前提高</w:t>
            </w:r>
            <w:r>
              <w:rPr>
                <w:rFonts w:hint="default" w:ascii="Times New Roman" w:hAnsi="Times New Roman" w:cs="Times New Roman" w:eastAsiaTheme="minorEastAsia"/>
                <w:b w:val="0"/>
                <w:bCs w:val="0"/>
                <w:color w:val="auto"/>
                <w:sz w:val="18"/>
                <w:szCs w:val="18"/>
                <w:lang w:val="en-US" w:eastAsia="zh-CN"/>
              </w:rPr>
              <w:t>5</w:t>
            </w:r>
            <w:r>
              <w:rPr>
                <w:rFonts w:hint="default" w:ascii="Times New Roman" w:hAnsi="Times New Roman" w:cs="Times New Roman" w:eastAsiaTheme="minorEastAsia"/>
                <w:b w:val="0"/>
                <w:bCs w:val="0"/>
                <w:color w:val="auto"/>
                <w:sz w:val="18"/>
                <w:szCs w:val="18"/>
              </w:rPr>
              <w:t>%以上得</w:t>
            </w:r>
            <w:r>
              <w:rPr>
                <w:rFonts w:hint="default" w:ascii="Times New Roman" w:hAnsi="Times New Roman" w:cs="Times New Roman" w:eastAsiaTheme="minorEastAsia"/>
                <w:b w:val="0"/>
                <w:bCs w:val="0"/>
                <w:color w:val="auto"/>
                <w:sz w:val="18"/>
                <w:szCs w:val="18"/>
                <w:lang w:val="en-US" w:eastAsia="zh-CN"/>
              </w:rPr>
              <w:t>3</w:t>
            </w:r>
            <w:r>
              <w:rPr>
                <w:rFonts w:hint="default" w:ascii="Times New Roman" w:hAnsi="Times New Roman" w:cs="Times New Roman" w:eastAsiaTheme="minorEastAsia"/>
                <w:b w:val="0"/>
                <w:bCs w:val="0"/>
                <w:color w:val="auto"/>
                <w:sz w:val="18"/>
                <w:szCs w:val="18"/>
              </w:rPr>
              <w:t>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43" w:hRule="atLeast"/>
          <w:jc w:val="center"/>
        </w:trPr>
        <w:tc>
          <w:tcPr>
            <w:tcW w:w="9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技术效益</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lang w:val="en-US" w:eastAsia="zh-CN"/>
              </w:rPr>
              <w:t>3</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通过应用标准化养殖技术，养殖效益提高5%以上得</w:t>
            </w:r>
            <w:r>
              <w:rPr>
                <w:rFonts w:hint="default" w:ascii="Times New Roman" w:hAnsi="Times New Roman" w:cs="Times New Roman" w:eastAsiaTheme="minorEastAsia"/>
                <w:b w:val="0"/>
                <w:bCs w:val="0"/>
                <w:color w:val="auto"/>
                <w:sz w:val="18"/>
                <w:szCs w:val="18"/>
                <w:lang w:val="en-US" w:eastAsia="zh-CN"/>
              </w:rPr>
              <w:t>3</w:t>
            </w:r>
            <w:r>
              <w:rPr>
                <w:rFonts w:hint="default" w:ascii="Times New Roman" w:hAnsi="Times New Roman" w:cs="Times New Roman" w:eastAsiaTheme="minorEastAsia"/>
                <w:b w:val="0"/>
                <w:bCs w:val="0"/>
                <w:color w:val="auto"/>
                <w:sz w:val="18"/>
                <w:szCs w:val="18"/>
              </w:rPr>
              <w:t>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96" w:hRule="atLeast"/>
          <w:jc w:val="center"/>
        </w:trPr>
        <w:tc>
          <w:tcPr>
            <w:tcW w:w="9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社会效益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2分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示范带动</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2</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示范带动作用显著得2分，较显著得1分。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96" w:hRule="atLeast"/>
          <w:jc w:val="center"/>
        </w:trPr>
        <w:tc>
          <w:tcPr>
            <w:tcW w:w="9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生态效益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2分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环境友好</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2</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项目实施对周边环境没有影响</w:t>
            </w:r>
            <w:r>
              <w:rPr>
                <w:rFonts w:hint="eastAsia" w:ascii="Times New Roman" w:hAnsi="Times New Roman" w:cs="Times New Roman" w:eastAsiaTheme="minorEastAsia"/>
                <w:b w:val="0"/>
                <w:bCs w:val="0"/>
                <w:color w:val="auto"/>
                <w:sz w:val="18"/>
                <w:szCs w:val="18"/>
                <w:lang w:eastAsia="zh-CN"/>
              </w:rPr>
              <w:t>的</w:t>
            </w:r>
            <w:r>
              <w:rPr>
                <w:rFonts w:hint="default" w:ascii="Times New Roman" w:hAnsi="Times New Roman" w:cs="Times New Roman" w:eastAsiaTheme="minorEastAsia"/>
                <w:b w:val="0"/>
                <w:bCs w:val="0"/>
                <w:color w:val="auto"/>
                <w:sz w:val="18"/>
                <w:szCs w:val="18"/>
              </w:rPr>
              <w:t>2分，否则不得分。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530" w:hRule="atLeast"/>
          <w:jc w:val="center"/>
        </w:trPr>
        <w:tc>
          <w:tcPr>
            <w:tcW w:w="92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养殖户满意</w:t>
            </w:r>
            <w:r>
              <w:rPr>
                <w:rFonts w:hint="eastAsia" w:ascii="Times New Roman" w:hAnsi="Times New Roman" w:cs="Times New Roman" w:eastAsiaTheme="minorEastAsia"/>
                <w:b w:val="0"/>
                <w:bCs w:val="0"/>
                <w:color w:val="auto"/>
                <w:sz w:val="18"/>
                <w:szCs w:val="18"/>
                <w:lang w:val="en-US" w:eastAsia="zh-CN"/>
              </w:rPr>
              <w:t xml:space="preserve"> </w:t>
            </w:r>
            <w:r>
              <w:rPr>
                <w:rFonts w:hint="default" w:ascii="Times New Roman" w:hAnsi="Times New Roman" w:cs="Times New Roman" w:eastAsiaTheme="minorEastAsia"/>
                <w:b w:val="0"/>
                <w:bCs w:val="0"/>
                <w:color w:val="auto"/>
                <w:sz w:val="18"/>
                <w:szCs w:val="18"/>
              </w:rPr>
              <w:t>度</w:t>
            </w:r>
            <w:r>
              <w:rPr>
                <w:rFonts w:hint="default" w:ascii="Times New Roman" w:hAnsi="Times New Roman" w:cs="Times New Roman" w:eastAsiaTheme="minorEastAsia"/>
                <w:b w:val="0"/>
                <w:bCs w:val="0"/>
                <w:color w:val="auto"/>
                <w:sz w:val="18"/>
                <w:szCs w:val="18"/>
                <w:lang w:eastAsia="zh-CN"/>
              </w:rPr>
              <w:t>（</w:t>
            </w:r>
            <w:r>
              <w:rPr>
                <w:rFonts w:hint="default" w:ascii="Times New Roman" w:hAnsi="Times New Roman" w:cs="Times New Roman" w:eastAsiaTheme="minorEastAsia"/>
                <w:b w:val="0"/>
                <w:bCs w:val="0"/>
                <w:color w:val="auto"/>
                <w:sz w:val="18"/>
                <w:szCs w:val="18"/>
                <w:lang w:val="en-US" w:eastAsia="zh-CN"/>
              </w:rPr>
              <w:t>3分</w:t>
            </w:r>
            <w:r>
              <w:rPr>
                <w:rFonts w:hint="default" w:ascii="Times New Roman" w:hAnsi="Times New Roman" w:cs="Times New Roman" w:eastAsiaTheme="minorEastAsia"/>
                <w:b w:val="0"/>
                <w:bCs w:val="0"/>
                <w:color w:val="auto"/>
                <w:sz w:val="18"/>
                <w:szCs w:val="18"/>
                <w:lang w:eastAsia="zh-CN"/>
              </w:rPr>
              <w:t>）</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养殖户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满意度</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3</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群众对项目建设满意度达到95%以上得3分，达到80%以上得2分，低于80%不得分。</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285"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扣分项</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违规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违纪</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违规违纪</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lang w:val="en-US" w:eastAsia="zh-CN"/>
              </w:rPr>
            </w:pPr>
            <w:r>
              <w:rPr>
                <w:rFonts w:hint="default" w:ascii="Times New Roman" w:hAnsi="Times New Roman" w:cs="Times New Roman" w:eastAsiaTheme="minorEastAsia"/>
                <w:b w:val="0"/>
                <w:bCs w:val="0"/>
                <w:color w:val="auto"/>
                <w:sz w:val="18"/>
                <w:szCs w:val="18"/>
              </w:rPr>
              <w:t>-</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r>
              <w:rPr>
                <w:rFonts w:hint="default" w:ascii="Times New Roman" w:hAnsi="Times New Roman" w:cs="Times New Roman" w:eastAsiaTheme="minorEastAsia"/>
                <w:b w:val="0"/>
                <w:bCs w:val="0"/>
                <w:color w:val="auto"/>
                <w:sz w:val="18"/>
                <w:szCs w:val="18"/>
              </w:rPr>
              <w:t>被监察、审计、财政监督等机构查出存在冒领、骗取项目资金等违规违纪行为的，一次性扣除20分，造成严重负面影响的，总分为0，且下年不再安排项目资金。</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r>
        <w:tblPrEx>
          <w:tblCellMar>
            <w:top w:w="0" w:type="dxa"/>
            <w:left w:w="0" w:type="dxa"/>
            <w:bottom w:w="0" w:type="dxa"/>
            <w:right w:w="0" w:type="dxa"/>
          </w:tblCellMar>
        </w:tblPrEx>
        <w:trPr>
          <w:trHeight w:val="365" w:hRule="atLeast"/>
          <w:jc w:val="center"/>
        </w:trPr>
        <w:tc>
          <w:tcPr>
            <w:tcW w:w="30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sz w:val="18"/>
                <w:szCs w:val="18"/>
                <w:lang w:val="en-US" w:eastAsia="zh-CN"/>
              </w:rPr>
            </w:pPr>
            <w:r>
              <w:rPr>
                <w:rFonts w:hint="eastAsia" w:ascii="Times New Roman" w:hAnsi="Times New Roman" w:cs="Times New Roman" w:eastAsiaTheme="minorEastAsia"/>
                <w:b w:val="0"/>
                <w:bCs w:val="0"/>
                <w:color w:val="auto"/>
                <w:sz w:val="18"/>
                <w:szCs w:val="18"/>
                <w:lang w:val="en-US" w:eastAsia="zh-CN"/>
              </w:rPr>
              <w:t>合计</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cs="Times New Roman" w:eastAsiaTheme="minorEastAsia"/>
                <w:b w:val="0"/>
                <w:bCs w:val="0"/>
                <w:color w:val="auto"/>
                <w:sz w:val="18"/>
                <w:szCs w:val="18"/>
                <w:lang w:val="en-US" w:eastAsia="zh-CN"/>
              </w:rPr>
            </w:pPr>
            <w:r>
              <w:rPr>
                <w:rFonts w:hint="eastAsia" w:ascii="Times New Roman" w:hAnsi="Times New Roman" w:cs="Times New Roman" w:eastAsiaTheme="minorEastAsia"/>
                <w:b w:val="0"/>
                <w:bCs w:val="0"/>
                <w:color w:val="auto"/>
                <w:sz w:val="18"/>
                <w:szCs w:val="18"/>
                <w:lang w:val="en-US" w:eastAsia="zh-CN"/>
              </w:rPr>
              <w:t>100</w:t>
            </w:r>
          </w:p>
        </w:tc>
        <w:tc>
          <w:tcPr>
            <w:tcW w:w="55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cs="Times New Roman" w:eastAsiaTheme="minorEastAsia"/>
                <w:b w:val="0"/>
                <w:bCs w:val="0"/>
                <w:color w:val="auto"/>
                <w:sz w:val="18"/>
                <w:szCs w:val="18"/>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eastAsiaTheme="minorEastAsia"/>
                <w:b w:val="0"/>
                <w:bCs w:val="0"/>
                <w:color w:val="auto"/>
                <w:sz w:val="18"/>
                <w:szCs w:val="18"/>
              </w:rPr>
            </w:pPr>
          </w:p>
        </w:tc>
      </w:tr>
    </w:tbl>
    <w:p>
      <w:pPr>
        <w:rPr>
          <w:rFonts w:hint="default"/>
        </w:rPr>
        <w:sectPr>
          <w:headerReference r:id="rId5" w:type="default"/>
          <w:footerReference r:id="rId6" w:type="default"/>
          <w:pgSz w:w="11906" w:h="16838"/>
          <w:pgMar w:top="2098" w:right="1474" w:bottom="1984" w:left="1587" w:header="851" w:footer="992" w:gutter="0"/>
          <w:pgNumType w:fmt="numberInDash"/>
          <w:cols w:space="0" w:num="1"/>
          <w:rtlGutter w:val="0"/>
          <w:docGrid w:type="lines" w:linePitch="323" w:charSpace="0"/>
        </w:sectPr>
      </w:pPr>
    </w:p>
    <w:p>
      <w:pPr>
        <w:bidi w:val="0"/>
        <w:jc w:val="left"/>
        <w:rPr>
          <w:rFonts w:hint="default"/>
          <w:lang w:val="en-US" w:eastAsia="zh-CN"/>
        </w:rPr>
      </w:pPr>
    </w:p>
    <w:sectPr>
      <w:headerReference r:id="rId7" w:type="default"/>
      <w:footerReference r:id="rId8" w:type="default"/>
      <w:pgSz w:w="11906" w:h="16838"/>
      <w:pgMar w:top="1417" w:right="1587" w:bottom="1417"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- 10 -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Nh5FP3mAQAAxwMA&#10;AA4AAAAAAAAAAQAgAAAAHgEAAGRycy9lMm9Eb2MueG1sUEsFBgAAAAAGAAYAWQEAAHYFA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zVmOTRmNGRlNjI0MWY2NDU1NzA3MWQ5ZGNjZDUifQ=="/>
  </w:docVars>
  <w:rsids>
    <w:rsidRoot w:val="5CE57F29"/>
    <w:rsid w:val="03AD5D4E"/>
    <w:rsid w:val="054B72A4"/>
    <w:rsid w:val="05752F5B"/>
    <w:rsid w:val="060521F7"/>
    <w:rsid w:val="08C72F61"/>
    <w:rsid w:val="0E1E69B7"/>
    <w:rsid w:val="10A967EE"/>
    <w:rsid w:val="19890137"/>
    <w:rsid w:val="1A84470F"/>
    <w:rsid w:val="1D84619F"/>
    <w:rsid w:val="1E6464B6"/>
    <w:rsid w:val="201C315D"/>
    <w:rsid w:val="22CE093F"/>
    <w:rsid w:val="2477472C"/>
    <w:rsid w:val="24DF4367"/>
    <w:rsid w:val="260B6BF4"/>
    <w:rsid w:val="27AF5C73"/>
    <w:rsid w:val="2A0D2C5D"/>
    <w:rsid w:val="2A2748E1"/>
    <w:rsid w:val="2D701D7A"/>
    <w:rsid w:val="31C66EB6"/>
    <w:rsid w:val="32C337C3"/>
    <w:rsid w:val="36083B40"/>
    <w:rsid w:val="3B430676"/>
    <w:rsid w:val="3B9C6CE3"/>
    <w:rsid w:val="3D9117CB"/>
    <w:rsid w:val="3F8F9922"/>
    <w:rsid w:val="3FFF6A4F"/>
    <w:rsid w:val="444B3387"/>
    <w:rsid w:val="45DD0788"/>
    <w:rsid w:val="4AEFBE1B"/>
    <w:rsid w:val="4E212E8B"/>
    <w:rsid w:val="51D92BBC"/>
    <w:rsid w:val="51F60B45"/>
    <w:rsid w:val="543D59C1"/>
    <w:rsid w:val="554858A1"/>
    <w:rsid w:val="556C2E77"/>
    <w:rsid w:val="55746EAD"/>
    <w:rsid w:val="575C1C18"/>
    <w:rsid w:val="580923BA"/>
    <w:rsid w:val="58510172"/>
    <w:rsid w:val="58631AF6"/>
    <w:rsid w:val="58A02946"/>
    <w:rsid w:val="5CE57F29"/>
    <w:rsid w:val="5DC7555C"/>
    <w:rsid w:val="655D4F44"/>
    <w:rsid w:val="679A779E"/>
    <w:rsid w:val="696D4F8C"/>
    <w:rsid w:val="69AF498E"/>
    <w:rsid w:val="69EE41BD"/>
    <w:rsid w:val="6E4D4419"/>
    <w:rsid w:val="6F1AB128"/>
    <w:rsid w:val="709614C7"/>
    <w:rsid w:val="709B1CCC"/>
    <w:rsid w:val="759F00D3"/>
    <w:rsid w:val="75EE187B"/>
    <w:rsid w:val="78C935D5"/>
    <w:rsid w:val="7ECD1D66"/>
    <w:rsid w:val="7FDB6716"/>
    <w:rsid w:val="95D535A4"/>
    <w:rsid w:val="BB75198E"/>
    <w:rsid w:val="BFFB5F8E"/>
    <w:rsid w:val="C7B368B3"/>
    <w:rsid w:val="CDB94A3A"/>
    <w:rsid w:val="DBFEC256"/>
    <w:rsid w:val="EFC204A8"/>
    <w:rsid w:val="EFFEA051"/>
    <w:rsid w:val="FC9D9443"/>
    <w:rsid w:val="FD6FD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autoRedefine/>
    <w:unhideWhenUsed/>
    <w:qFormat/>
    <w:uiPriority w:val="0"/>
    <w:pPr>
      <w:keepNext/>
      <w:keepLines/>
      <w:spacing w:before="260" w:after="260" w:line="416" w:lineRule="auto"/>
      <w:outlineLvl w:val="1"/>
    </w:pPr>
    <w:rPr>
      <w:rFonts w:ascii="Cambria" w:hAnsi="Cambria" w:eastAsia="宋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两字）"/>
    <w:basedOn w:val="1"/>
    <w:autoRedefine/>
    <w:qFormat/>
    <w:uiPriority w:val="0"/>
    <w:pPr>
      <w:spacing w:line="360" w:lineRule="auto"/>
      <w:ind w:firstLine="420" w:firstLineChars="200"/>
    </w:pPr>
    <w:rPr>
      <w:rFonts w:ascii="Times New Roman" w:hAnsi="Times New Roman" w:eastAsia="宋体" w:cs="Times New Roman"/>
      <w:sz w:val="28"/>
      <w:szCs w:val="21"/>
    </w:rPr>
  </w:style>
  <w:style w:type="paragraph" w:styleId="4">
    <w:name w:val="Normal Indent"/>
    <w:basedOn w:val="1"/>
    <w:next w:val="1"/>
    <w:qFormat/>
    <w:uiPriority w:val="0"/>
    <w:pPr>
      <w:spacing w:line="300" w:lineRule="auto"/>
      <w:ind w:firstLine="420"/>
    </w:pPr>
    <w:rPr>
      <w:sz w:val="24"/>
    </w:rPr>
  </w:style>
  <w:style w:type="paragraph" w:styleId="5">
    <w:name w:val="index 6"/>
    <w:basedOn w:val="1"/>
    <w:next w:val="1"/>
    <w:qFormat/>
    <w:uiPriority w:val="0"/>
    <w:pPr>
      <w:ind w:left="2100"/>
    </w:pPr>
  </w:style>
  <w:style w:type="paragraph" w:styleId="6">
    <w:name w:val="Body Text Indent"/>
    <w:basedOn w:val="1"/>
    <w:qFormat/>
    <w:uiPriority w:val="0"/>
    <w:pPr>
      <w:widowControl/>
      <w:tabs>
        <w:tab w:val="left" w:pos="8680"/>
      </w:tabs>
      <w:autoSpaceDE w:val="0"/>
      <w:autoSpaceDN w:val="0"/>
      <w:adjustRightInd w:val="0"/>
      <w:spacing w:line="360" w:lineRule="auto"/>
      <w:ind w:left="540" w:firstLine="660" w:firstLineChars="200"/>
      <w:textAlignment w:val="bottom"/>
    </w:pPr>
    <w:rPr>
      <w:rFonts w:ascii="仿宋_GB2312" w:eastAsia="仿宋_GB2312"/>
      <w:kern w:val="0"/>
      <w:sz w:val="28"/>
      <w:szCs w:val="20"/>
    </w:rPr>
  </w:style>
  <w:style w:type="paragraph" w:styleId="7">
    <w:name w:val="Balloon Tex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styleId="8">
    <w:name w:val="footer"/>
    <w:basedOn w:val="1"/>
    <w:next w:val="1"/>
    <w:autoRedefine/>
    <w:qFormat/>
    <w:uiPriority w:val="0"/>
    <w:pPr>
      <w:tabs>
        <w:tab w:val="center" w:pos="4153"/>
        <w:tab w:val="right" w:pos="8306"/>
      </w:tabs>
      <w:snapToGrid w:val="0"/>
      <w:jc w:val="left"/>
    </w:pPr>
    <w:rPr>
      <w:sz w:val="18"/>
    </w:rPr>
  </w:style>
  <w:style w:type="paragraph" w:styleId="9">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next w:val="5"/>
    <w:qFormat/>
    <w:uiPriority w:val="0"/>
    <w:pPr>
      <w:spacing w:before="100" w:beforeAutospacing="1" w:after="100" w:afterAutospacing="1"/>
      <w:ind w:left="0" w:right="0"/>
      <w:jc w:val="left"/>
    </w:pPr>
    <w:rPr>
      <w:kern w:val="0"/>
      <w:sz w:val="24"/>
      <w:lang w:val="en-US" w:eastAsia="zh-CN" w:bidi="ar"/>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Title"/>
    <w:basedOn w:val="1"/>
    <w:next w:val="1"/>
    <w:qFormat/>
    <w:uiPriority w:val="0"/>
    <w:pPr>
      <w:jc w:val="center"/>
      <w:outlineLvl w:val="0"/>
    </w:pPr>
    <w:rPr>
      <w:rFonts w:ascii="Cambria" w:hAnsi="Cambria" w:eastAsia="方正小标宋简体" w:cs="Times New Roman"/>
      <w:b/>
      <w:bCs/>
    </w:rPr>
  </w:style>
  <w:style w:type="paragraph" w:styleId="13">
    <w:name w:val="Body Text First Indent 2"/>
    <w:basedOn w:val="6"/>
    <w:next w:val="1"/>
    <w:qFormat/>
    <w:uiPriority w:val="0"/>
    <w:pPr>
      <w:spacing w:after="120"/>
      <w:ind w:left="200" w:leftChars="200" w:firstLine="420"/>
    </w:pPr>
    <w:rPr>
      <w:rFonts w:ascii="Times New Roman" w:hAnsi="Times New Roman" w:eastAsia="宋体" w:cs="Times New Roma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
    <w:name w:val="NormalCharacter"/>
    <w:qFormat/>
    <w:uiPriority w:val="0"/>
  </w:style>
  <w:style w:type="paragraph" w:customStyle="1" w:styleId="19">
    <w:name w:val="页脚1"/>
    <w:basedOn w:val="1"/>
    <w:qFormat/>
    <w:uiPriority w:val="0"/>
    <w:pPr>
      <w:tabs>
        <w:tab w:val="center" w:pos="4153"/>
        <w:tab w:val="right" w:pos="8306"/>
      </w:tabs>
      <w:snapToGrid w:val="0"/>
      <w:jc w:val="left"/>
    </w:pPr>
    <w:rPr>
      <w:sz w:val="18"/>
    </w:rPr>
  </w:style>
  <w:style w:type="paragraph" w:customStyle="1" w:styleId="20">
    <w:name w:val="NormalIndent"/>
    <w:basedOn w:val="1"/>
    <w:qFormat/>
    <w:uiPriority w:val="0"/>
    <w:pPr>
      <w:spacing w:line="300" w:lineRule="auto"/>
      <w:ind w:firstLine="420"/>
    </w:pPr>
  </w:style>
  <w:style w:type="character" w:customStyle="1" w:styleId="21">
    <w:name w:val="font71"/>
    <w:basedOn w:val="16"/>
    <w:qFormat/>
    <w:uiPriority w:val="0"/>
    <w:rPr>
      <w:rFonts w:hint="eastAsia" w:ascii="宋体" w:hAnsi="宋体" w:eastAsia="宋体" w:cs="宋体"/>
      <w:color w:val="000000"/>
      <w:sz w:val="24"/>
      <w:szCs w:val="24"/>
      <w:u w:val="none"/>
    </w:rPr>
  </w:style>
  <w:style w:type="character" w:customStyle="1" w:styleId="22">
    <w:name w:val="font31"/>
    <w:basedOn w:val="16"/>
    <w:qFormat/>
    <w:uiPriority w:val="0"/>
    <w:rPr>
      <w:rFonts w:hint="eastAsia" w:ascii="仿宋_GB2312" w:eastAsia="仿宋_GB2312" w:cs="仿宋_GB2312"/>
      <w:color w:val="000000"/>
      <w:sz w:val="24"/>
      <w:szCs w:val="24"/>
      <w:u w:val="none"/>
    </w:rPr>
  </w:style>
  <w:style w:type="character" w:customStyle="1" w:styleId="23">
    <w:name w:val="font51"/>
    <w:basedOn w:val="16"/>
    <w:qFormat/>
    <w:uiPriority w:val="0"/>
    <w:rPr>
      <w:rFonts w:hint="eastAsia" w:ascii="宋体" w:hAnsi="宋体" w:eastAsia="宋体" w:cs="宋体"/>
      <w:color w:val="000000"/>
      <w:sz w:val="21"/>
      <w:szCs w:val="21"/>
      <w:u w:val="none"/>
    </w:rPr>
  </w:style>
  <w:style w:type="paragraph" w:customStyle="1" w:styleId="24">
    <w:name w:val="正文 A"/>
    <w:next w:val="25"/>
    <w:qFormat/>
    <w:uiPriority w:val="0"/>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25">
    <w:name w:val="正文缩进1"/>
    <w:autoRedefine/>
    <w:qFormat/>
    <w:uiPriority w:val="0"/>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00" w:lineRule="auto"/>
      <w:ind w:left="0" w:right="0" w:firstLine="420"/>
      <w:jc w:val="both"/>
      <w:outlineLvl w:val="9"/>
    </w:pPr>
    <w:rPr>
      <w:rFonts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26">
    <w:name w:val="表格"/>
    <w:next w:val="1"/>
    <w:semiHidden/>
    <w:qFormat/>
    <w:uiPriority w:val="0"/>
    <w:pPr>
      <w:widowControl w:val="0"/>
    </w:pPr>
    <w:rPr>
      <w:rFonts w:ascii="Times New Roman"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15654</Words>
  <Characters>16590</Characters>
  <Lines>0</Lines>
  <Paragraphs>0</Paragraphs>
  <TotalTime>12</TotalTime>
  <ScaleCrop>false</ScaleCrop>
  <LinksUpToDate>false</LinksUpToDate>
  <CharactersWithSpaces>16797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2022-05-19T06:27:00Z</dcterms:created>
  <dc:creator>Administrator</dc:creator>
  <cp:lastModifiedBy>丹丹阳</cp:lastModifiedBy>
  <cp:lastPrinted>2024-03-20T16:40:00Z</cp:lastPrinted>
  <dcterms:modified xsi:type="dcterms:W3CDTF">2024-03-25T04:38:57Z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8DE41F2E6B034898A25A78E0B61329EE_13</vt:lpwstr>
  </property>
</Properties>
</file>