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件2</w:t>
      </w:r>
    </w:p>
    <w:p>
      <w:pPr>
        <w:spacing w:line="53" w:lineRule="exact"/>
      </w:pPr>
    </w:p>
    <w:p>
      <w:pPr>
        <w:pStyle w:val="6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畜禽粪污资源化利用项目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绩效目标表</w:t>
      </w:r>
    </w:p>
    <w:tbl>
      <w:tblPr>
        <w:tblStyle w:val="9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13"/>
        <w:gridCol w:w="150"/>
        <w:gridCol w:w="1770"/>
        <w:gridCol w:w="659"/>
        <w:gridCol w:w="1546"/>
        <w:gridCol w:w="1592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6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2024年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畜禽粪污资源化利用项目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自治区主管部门</w:t>
            </w: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农业农村厅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专项实施期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市县财政部门</w:t>
            </w: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青铜峡市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财政局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市县主管部门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青铜峡市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资金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情况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年度金额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其中：中央补助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1890" w:firstLineChars="9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自治区补助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市县资金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体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目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82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按照自治区《2024年全区农业面源污染治理项目实施方案》建设任务及具体要求，2024年青铜峡市实施畜禽粪污资源化利用项目，下达项目补助资金200万元，提升改造奶牛场3家，配套粪污收集、处理、利用设施等，推广应用先进工艺、技术和装备，推进畜禽粪污垫</w:t>
            </w:r>
            <w:bookmarkStart w:id="0" w:name="_GoBack"/>
            <w:bookmarkEnd w:id="0"/>
            <w:r>
              <w:rPr>
                <w:rFonts w:hint="eastAsia"/>
                <w:color w:val="auto"/>
                <w:lang w:val="en-US" w:eastAsia="zh-CN"/>
              </w:rPr>
              <w:t>料化、肥料化利用，持续提高畜禽粪污资源化能力和水平。畜禽粪污综合利用率达到90%，规模养殖场畜禽粪污设施设备配套率达到95%。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7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畜禽粪污资源化利用提升改造</w:t>
            </w:r>
            <w:r>
              <w:rPr>
                <w:rFonts w:hint="eastAsia"/>
                <w:color w:val="auto"/>
                <w:lang w:eastAsia="zh-CN"/>
              </w:rPr>
              <w:t>牧</w:t>
            </w:r>
            <w:r>
              <w:rPr>
                <w:rFonts w:hint="eastAsia" w:eastAsia="宋体" w:cs="Times New Roman"/>
                <w:color w:val="auto"/>
                <w:lang w:eastAsia="zh-CN"/>
              </w:rPr>
              <w:t>场（个）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质量指标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完成批复建设内容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项目完成时间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年期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经济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效益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经营主体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节本增效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社会效指标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示范带动作用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生态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效益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、绿色发展水平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可持续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影响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  <w:lang w:val="en-US" w:eastAsia="zh-CN"/>
              </w:rPr>
              <w:t>推动畜牧业绿色发展，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奶牛粪污综合利用率达到9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%以上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持续推进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实施主体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满意度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≥90%</w:t>
            </w:r>
          </w:p>
        </w:tc>
      </w:tr>
    </w:tbl>
    <w:p>
      <w:pPr>
        <w:sectPr>
          <w:footerReference r:id="rId3" w:type="default"/>
          <w:pgSz w:w="11900" w:h="16840"/>
          <w:pgMar w:top="2154" w:right="1474" w:bottom="2041" w:left="1587" w:header="0" w:footer="1109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695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40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237008C6"/>
    <w:rsid w:val="04EB38ED"/>
    <w:rsid w:val="101A677A"/>
    <w:rsid w:val="110411F6"/>
    <w:rsid w:val="11877731"/>
    <w:rsid w:val="1DE24935"/>
    <w:rsid w:val="237008C6"/>
    <w:rsid w:val="255F0C6E"/>
    <w:rsid w:val="3D050439"/>
    <w:rsid w:val="40250618"/>
    <w:rsid w:val="43C2453B"/>
    <w:rsid w:val="487A3570"/>
    <w:rsid w:val="4CF421AC"/>
    <w:rsid w:val="5D804D2D"/>
    <w:rsid w:val="60483AFC"/>
    <w:rsid w:val="67466E69"/>
    <w:rsid w:val="675FDF9E"/>
    <w:rsid w:val="6F7A5A8E"/>
    <w:rsid w:val="7CDC2D46"/>
    <w:rsid w:val="7DFF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8"/>
      <w:szCs w:val="21"/>
    </w:rPr>
  </w:style>
  <w:style w:type="paragraph" w:styleId="5">
    <w:name w:val="Body Text"/>
    <w:basedOn w:val="1"/>
    <w:autoRedefine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0"/>
    </w:rPr>
  </w:style>
  <w:style w:type="paragraph" w:styleId="6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next w:val="5"/>
    <w:autoRedefine/>
    <w:qFormat/>
    <w:uiPriority w:val="0"/>
    <w:pPr>
      <w:ind w:firstLine="720" w:firstLineChars="200"/>
    </w:pPr>
    <w:rPr>
      <w:rFonts w:ascii="Calibri" w:hAnsi="Calibri" w:eastAsia="宋体" w:cs="Times New Roman"/>
    </w:rPr>
  </w:style>
  <w:style w:type="character" w:customStyle="1" w:styleId="11">
    <w:name w:val="font7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6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5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2024-03-14T14:34:00Z</dcterms:created>
  <dc:creator>乖小兔</dc:creator>
  <cp:lastModifiedBy>丹丹阳</cp:lastModifiedBy>
  <cp:lastPrinted>2024-03-20T16:25:00Z</cp:lastPrinted>
  <dcterms:modified xsi:type="dcterms:W3CDTF">2024-03-25T04:34:15Z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AEA8F2688FA74037A87D4DF798E11170_13</vt:lpwstr>
  </property>
</Properties>
</file>