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b/>
          <w:bCs/>
          <w:kern w:val="2"/>
          <w:sz w:val="44"/>
          <w:szCs w:val="44"/>
          <w:lang w:val="en-US" w:eastAsia="zh-CN" w:bidi="ar-SA"/>
        </w:rPr>
      </w:pPr>
      <w:bookmarkStart w:id="0" w:name="_GoBack"/>
      <w:r>
        <w:rPr>
          <w:rFonts w:hint="eastAsia" w:ascii="Times New Roman" w:hAnsi="Times New Roman" w:eastAsia="方正小标宋_GBK" w:cs="Times New Roman"/>
          <w:b/>
          <w:bCs/>
          <w:sz w:val="44"/>
          <w:szCs w:val="44"/>
          <w:lang w:eastAsia="zh-CN"/>
        </w:rPr>
        <w:t>青铜峡</w:t>
      </w:r>
      <w:r>
        <w:rPr>
          <w:rFonts w:hint="default" w:ascii="Times New Roman" w:hAnsi="Times New Roman" w:eastAsia="方正小标宋_GBK" w:cs="Times New Roman"/>
          <w:b/>
          <w:bCs/>
          <w:sz w:val="44"/>
          <w:szCs w:val="44"/>
        </w:rPr>
        <w:t>市20</w:t>
      </w:r>
      <w:r>
        <w:rPr>
          <w:rFonts w:hint="default" w:ascii="Times New Roman" w:hAnsi="Times New Roman" w:eastAsia="方正小标宋_GBK" w:cs="Times New Roman"/>
          <w:b/>
          <w:bCs/>
          <w:sz w:val="44"/>
          <w:szCs w:val="44"/>
          <w:lang w:val="en-US" w:eastAsia="zh-CN"/>
        </w:rPr>
        <w:t>2</w:t>
      </w:r>
      <w:r>
        <w:rPr>
          <w:rFonts w:hint="eastAsia" w:ascii="Times New Roman" w:hAnsi="Times New Roman" w:eastAsia="方正小标宋_GBK" w:cs="Times New Roman"/>
          <w:b/>
          <w:bCs/>
          <w:sz w:val="44"/>
          <w:szCs w:val="44"/>
          <w:lang w:val="en-US" w:eastAsia="zh-CN"/>
        </w:rPr>
        <w:t>5</w:t>
      </w:r>
      <w:r>
        <w:rPr>
          <w:rFonts w:hint="default" w:ascii="Times New Roman" w:hAnsi="Times New Roman" w:eastAsia="方正小标宋_GBK" w:cs="Times New Roman"/>
          <w:b/>
          <w:bCs/>
          <w:sz w:val="44"/>
          <w:szCs w:val="44"/>
        </w:rPr>
        <w:t>年</w:t>
      </w:r>
      <w:r>
        <w:rPr>
          <w:rFonts w:hint="default" w:ascii="Times New Roman" w:hAnsi="Times New Roman" w:eastAsia="方正小标宋_GBK" w:cs="Times New Roman"/>
          <w:b/>
          <w:bCs/>
          <w:kern w:val="2"/>
          <w:sz w:val="44"/>
          <w:szCs w:val="44"/>
          <w:lang w:val="en-US" w:eastAsia="zh-CN" w:bidi="ar-SA"/>
        </w:rPr>
        <w:t>渔业</w:t>
      </w:r>
      <w:r>
        <w:rPr>
          <w:rFonts w:hint="default" w:ascii="Times New Roman" w:hAnsi="Times New Roman" w:eastAsia="方正小标宋_GBK" w:cs="Times New Roman"/>
          <w:b/>
          <w:bCs/>
          <w:sz w:val="44"/>
          <w:szCs w:val="44"/>
        </w:rPr>
        <w:t>资源保护</w:t>
      </w:r>
      <w:r>
        <w:rPr>
          <w:rFonts w:hint="default" w:ascii="Times New Roman" w:hAnsi="Times New Roman" w:eastAsia="方正小标宋_GBK" w:cs="Times New Roman"/>
          <w:b/>
          <w:bCs/>
          <w:kern w:val="2"/>
          <w:sz w:val="44"/>
          <w:szCs w:val="44"/>
          <w:lang w:val="en-US" w:eastAsia="zh-CN" w:bidi="ar-SA"/>
        </w:rPr>
        <w:t>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_GBK" w:cs="Times New Roman"/>
          <w:b/>
          <w:bCs/>
          <w:kern w:val="2"/>
          <w:sz w:val="44"/>
          <w:szCs w:val="44"/>
          <w:lang w:val="en-US" w:eastAsia="zh-CN" w:bidi="ar-SA"/>
        </w:rPr>
      </w:pPr>
      <w:r>
        <w:rPr>
          <w:rFonts w:hint="default" w:ascii="Times New Roman" w:hAnsi="Times New Roman" w:eastAsia="方正小标宋_GBK" w:cs="Times New Roman"/>
          <w:b/>
          <w:bCs/>
          <w:kern w:val="2"/>
          <w:sz w:val="44"/>
          <w:szCs w:val="44"/>
          <w:lang w:val="en-US" w:eastAsia="zh-CN" w:bidi="ar-SA"/>
        </w:rPr>
        <w:t>实施方案</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自治区农业农村厅《关于下达2025年中央和自治区财政支农项目计划的通知》宁农（计）发[2025]8号、自治区农业农村厅渔业渔政管理局《关于印发2025年中央财政支农渔业领域项目方案的通知》宁农（渔）发[2025]2号文件精神，按照</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5</w:t>
      </w:r>
      <w:r>
        <w:rPr>
          <w:rFonts w:hint="eastAsia"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eastAsia="zh-CN"/>
        </w:rPr>
        <w:t>渔业资源保护项</w:t>
      </w:r>
      <w:r>
        <w:rPr>
          <w:rFonts w:hint="eastAsia" w:ascii="Times New Roman" w:hAnsi="Times New Roman" w:eastAsia="仿宋_GB2312" w:cs="Times New Roman"/>
          <w:bCs/>
          <w:sz w:val="32"/>
          <w:szCs w:val="32"/>
        </w:rPr>
        <w:t>目</w:t>
      </w:r>
      <w:r>
        <w:rPr>
          <w:rFonts w:hint="eastAsia" w:ascii="Times New Roman" w:hAnsi="Times New Roman" w:eastAsia="仿宋_GB2312" w:cs="Times New Roman"/>
          <w:bCs/>
          <w:sz w:val="32"/>
          <w:szCs w:val="32"/>
          <w:lang w:eastAsia="zh-CN"/>
        </w:rPr>
        <w:t>实施</w:t>
      </w:r>
      <w:r>
        <w:rPr>
          <w:rFonts w:hint="eastAsia" w:ascii="Times New Roman" w:hAnsi="Times New Roman" w:eastAsia="仿宋_GB2312" w:cs="Times New Roman"/>
          <w:bCs/>
          <w:sz w:val="32"/>
          <w:szCs w:val="32"/>
        </w:rPr>
        <w:t>方案</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要求</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结合我</w:t>
      </w:r>
      <w:r>
        <w:rPr>
          <w:rFonts w:hint="eastAsia" w:eastAsia="仿宋_GB2312" w:cs="Times New Roman"/>
          <w:sz w:val="32"/>
          <w:szCs w:val="32"/>
          <w:lang w:eastAsia="zh-CN"/>
        </w:rPr>
        <w:t>市实际，</w:t>
      </w:r>
      <w:r>
        <w:rPr>
          <w:rFonts w:hint="default" w:ascii="Times New Roman" w:hAnsi="Times New Roman" w:eastAsia="仿宋_GB2312" w:cs="Times New Roman"/>
          <w:sz w:val="32"/>
          <w:szCs w:val="32"/>
        </w:rPr>
        <w:t>制定本实施方案。</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一、任务目标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通过实施农业生态资源保护补助</w:t>
      </w:r>
      <w:r>
        <w:rPr>
          <w:rFonts w:hint="eastAsia" w:ascii="仿宋_GB2312" w:hAnsi="宋体" w:eastAsia="仿宋_GB2312"/>
          <w:sz w:val="32"/>
          <w:szCs w:val="32"/>
          <w:lang w:eastAsia="zh-CN"/>
        </w:rPr>
        <w:t>的渔业资源保护</w:t>
      </w:r>
      <w:r>
        <w:rPr>
          <w:rFonts w:hint="default" w:ascii="Times New Roman" w:hAnsi="Times New Roman" w:eastAsia="仿宋_GB2312" w:cs="Times New Roman"/>
          <w:sz w:val="32"/>
          <w:szCs w:val="32"/>
        </w:rPr>
        <w:t>项目，共向黄河宁夏</w:t>
      </w:r>
      <w:r>
        <w:rPr>
          <w:rFonts w:hint="eastAsia" w:ascii="Times New Roman" w:hAnsi="Times New Roman" w:eastAsia="仿宋_GB2312" w:cs="Times New Roman"/>
          <w:sz w:val="32"/>
          <w:szCs w:val="32"/>
          <w:lang w:eastAsia="zh-CN"/>
        </w:rPr>
        <w:t>青铜峡</w:t>
      </w:r>
      <w:r>
        <w:rPr>
          <w:rFonts w:hint="default" w:ascii="Times New Roman" w:hAnsi="Times New Roman" w:eastAsia="仿宋_GB2312" w:cs="Times New Roman"/>
          <w:sz w:val="32"/>
          <w:szCs w:val="32"/>
        </w:rPr>
        <w:t>段</w:t>
      </w:r>
      <w:r>
        <w:rPr>
          <w:rFonts w:hint="default" w:ascii="Times New Roman" w:hAnsi="Times New Roman" w:eastAsia="仿宋_GB2312" w:cs="Times New Roman"/>
          <w:sz w:val="32"/>
          <w:szCs w:val="32"/>
          <w:lang w:eastAsia="zh-CN"/>
        </w:rPr>
        <w:t>及附属流域</w:t>
      </w:r>
      <w:r>
        <w:rPr>
          <w:rFonts w:hint="default" w:ascii="Times New Roman" w:hAnsi="Times New Roman" w:eastAsia="仿宋_GB2312" w:cs="Times New Roman"/>
          <w:sz w:val="32"/>
          <w:szCs w:val="32"/>
        </w:rPr>
        <w:t>放流经济鱼类</w:t>
      </w:r>
      <w:r>
        <w:rPr>
          <w:rFonts w:hint="eastAsia"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万尾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水域生态环境得到改善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渔业种群资源加快恢复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重要经济物种放流资源贡献率≥2%；增殖放流区域内抽样调查满意度≥8</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%；资金使用中不得出现违规违纪问题。</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二、支持重点</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sz w:val="32"/>
          <w:szCs w:val="32"/>
        </w:rPr>
        <w:t>本项目为中央202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eastAsia="仿宋_GB2312"/>
          <w:sz w:val="32"/>
          <w:szCs w:val="32"/>
          <w:lang w:val="en-US" w:eastAsia="zh-CN"/>
        </w:rPr>
        <w:t>农业生态资源保护补助</w:t>
      </w:r>
      <w:r>
        <w:rPr>
          <w:rFonts w:hint="eastAsia" w:ascii="仿宋_GB2312" w:hAnsi="宋体" w:eastAsia="仿宋_GB2312"/>
          <w:sz w:val="32"/>
          <w:szCs w:val="32"/>
          <w:lang w:eastAsia="zh-CN"/>
        </w:rPr>
        <w:t>的渔业资源保护</w:t>
      </w:r>
      <w:r>
        <w:rPr>
          <w:rFonts w:hint="eastAsia" w:ascii="仿宋_GB2312" w:hAnsi="宋体" w:eastAsia="仿宋_GB2312"/>
          <w:sz w:val="32"/>
          <w:szCs w:val="32"/>
        </w:rPr>
        <w:t>项目</w:t>
      </w:r>
      <w:r>
        <w:rPr>
          <w:rFonts w:hint="default" w:ascii="Times New Roman" w:hAnsi="Times New Roman" w:eastAsia="仿宋_GB2312" w:cs="Times New Roman"/>
          <w:sz w:val="32"/>
          <w:szCs w:val="32"/>
        </w:rPr>
        <w:t>，黄河宁夏</w:t>
      </w:r>
      <w:r>
        <w:rPr>
          <w:rFonts w:hint="eastAsia" w:ascii="Times New Roman" w:hAnsi="Times New Roman" w:eastAsia="仿宋_GB2312" w:cs="Times New Roman"/>
          <w:sz w:val="32"/>
          <w:szCs w:val="32"/>
          <w:lang w:eastAsia="zh-CN"/>
        </w:rPr>
        <w:t>青铜峡</w:t>
      </w:r>
      <w:r>
        <w:rPr>
          <w:rFonts w:hint="default" w:ascii="Times New Roman" w:hAnsi="Times New Roman" w:eastAsia="仿宋_GB2312" w:cs="Times New Roman"/>
          <w:sz w:val="32"/>
          <w:szCs w:val="32"/>
        </w:rPr>
        <w:t>段总资金</w:t>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万元，支持重点如下：</w:t>
      </w:r>
    </w:p>
    <w:p>
      <w:pPr>
        <w:ind w:firstLine="642" w:firstLineChars="200"/>
        <w:rPr>
          <w:rFonts w:hint="eastAsia" w:ascii="仿宋" w:hAnsi="仿宋" w:eastAsia="仿宋" w:cs="仿宋"/>
          <w:sz w:val="32"/>
          <w:szCs w:val="32"/>
        </w:rPr>
      </w:pPr>
      <w:r>
        <w:rPr>
          <w:rFonts w:hint="eastAsia" w:ascii="楷体" w:hAnsi="楷体" w:eastAsia="楷体" w:cs="楷体"/>
          <w:b/>
          <w:bCs/>
          <w:sz w:val="32"/>
          <w:szCs w:val="32"/>
        </w:rPr>
        <w:t>(一)放流苗种购置、放流公证、执法检查</w:t>
      </w:r>
      <w:r>
        <w:rPr>
          <w:rFonts w:hint="eastAsia" w:ascii="楷体" w:hAnsi="楷体" w:eastAsia="楷体" w:cs="楷体"/>
          <w:b/>
          <w:bCs/>
          <w:sz w:val="32"/>
          <w:szCs w:val="32"/>
          <w:lang w:eastAsia="zh-CN"/>
        </w:rPr>
        <w:t>、苗种质量检验、种质鉴定</w:t>
      </w:r>
      <w:r>
        <w:rPr>
          <w:rFonts w:hint="eastAsia" w:ascii="楷体" w:hAnsi="楷体" w:eastAsia="楷体" w:cs="楷体"/>
          <w:b/>
          <w:bCs/>
          <w:sz w:val="32"/>
          <w:szCs w:val="32"/>
        </w:rPr>
        <w:t>。</w:t>
      </w:r>
      <w:r>
        <w:rPr>
          <w:rFonts w:hint="eastAsia" w:ascii="方正仿宋_GBK" w:hAnsi="方正仿宋_GBK" w:eastAsia="方正仿宋_GBK" w:cs="方正仿宋_GBK"/>
          <w:b w:val="0"/>
          <w:bCs w:val="0"/>
          <w:sz w:val="32"/>
          <w:szCs w:val="32"/>
          <w:lang w:eastAsia="zh-CN"/>
        </w:rPr>
        <w:t>青铜峡市</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采取公开招标或政府采购方式确定增殖放流经济物种供苗单位，采购经济鱼类苗种</w:t>
      </w:r>
      <w:r>
        <w:rPr>
          <w:rFonts w:hint="eastAsia" w:ascii="仿宋" w:hAnsi="仿宋" w:eastAsia="仿宋" w:cs="仿宋"/>
          <w:sz w:val="32"/>
          <w:szCs w:val="32"/>
          <w:lang w:val="en-US" w:eastAsia="zh-CN"/>
        </w:rPr>
        <w:t>80</w:t>
      </w:r>
      <w:r>
        <w:rPr>
          <w:rFonts w:hint="eastAsia" w:ascii="仿宋" w:hAnsi="仿宋" w:eastAsia="仿宋" w:cs="仿宋"/>
          <w:sz w:val="32"/>
          <w:szCs w:val="32"/>
        </w:rPr>
        <w:t>万尾,聘请公证机构对放流活动全程公证，对放流水域开展执法检查。其中</w:t>
      </w:r>
      <w:r>
        <w:rPr>
          <w:rFonts w:hint="eastAsia" w:ascii="仿宋" w:hAnsi="仿宋" w:eastAsia="仿宋" w:cs="仿宋"/>
          <w:sz w:val="32"/>
          <w:szCs w:val="32"/>
          <w:lang w:eastAsia="zh-CN"/>
        </w:rPr>
        <w:t>包括</w:t>
      </w:r>
      <w:r>
        <w:rPr>
          <w:rFonts w:hint="eastAsia" w:ascii="仿宋" w:hAnsi="仿宋" w:eastAsia="仿宋" w:cs="仿宋"/>
          <w:sz w:val="32"/>
          <w:szCs w:val="32"/>
        </w:rPr>
        <w:t>购置苗种</w:t>
      </w:r>
      <w:r>
        <w:rPr>
          <w:rFonts w:hint="eastAsia" w:ascii="仿宋" w:hAnsi="仿宋" w:eastAsia="仿宋" w:cs="仿宋"/>
          <w:sz w:val="32"/>
          <w:szCs w:val="32"/>
          <w:lang w:eastAsia="zh-CN"/>
        </w:rPr>
        <w:t>（购买放流苗种方面的费用支出占总项目资金的</w:t>
      </w:r>
      <w:r>
        <w:rPr>
          <w:rFonts w:hint="eastAsia" w:ascii="仿宋" w:hAnsi="仿宋" w:eastAsia="仿宋" w:cs="仿宋"/>
          <w:sz w:val="32"/>
          <w:szCs w:val="32"/>
          <w:lang w:val="en-US" w:eastAsia="zh-CN"/>
        </w:rPr>
        <w:t>90%以上</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完成</w:t>
      </w:r>
      <w:r>
        <w:rPr>
          <w:rFonts w:hint="eastAsia" w:ascii="仿宋" w:hAnsi="仿宋" w:eastAsia="仿宋" w:cs="仿宋"/>
          <w:sz w:val="32"/>
          <w:szCs w:val="32"/>
        </w:rPr>
        <w:t>增殖放流公证、搭建放流台、制作横幅及宣传品、渔业种质资源保护宣传展板、制作放鱼板</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同时</w:t>
      </w:r>
      <w:r>
        <w:rPr>
          <w:rFonts w:hint="eastAsia" w:ascii="仿宋" w:hAnsi="仿宋" w:eastAsia="仿宋" w:cs="仿宋"/>
          <w:sz w:val="32"/>
          <w:szCs w:val="32"/>
        </w:rPr>
        <w:t>对放流品种开展种质鉴定和质量检验。</w:t>
      </w:r>
    </w:p>
    <w:p>
      <w:pPr>
        <w:ind w:firstLine="642" w:firstLineChars="200"/>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)开展跟踪评估。</w:t>
      </w:r>
      <w:r>
        <w:rPr>
          <w:rFonts w:hint="eastAsia" w:ascii="仿宋" w:hAnsi="仿宋" w:eastAsia="仿宋" w:cs="仿宋"/>
          <w:sz w:val="32"/>
          <w:szCs w:val="32"/>
        </w:rPr>
        <w:t>由自治区水产技术推广站牵头负责，</w:t>
      </w:r>
      <w:r>
        <w:rPr>
          <w:rFonts w:hint="eastAsia" w:ascii="仿宋" w:hAnsi="仿宋" w:eastAsia="仿宋" w:cs="仿宋"/>
          <w:sz w:val="32"/>
          <w:szCs w:val="32"/>
          <w:lang w:eastAsia="zh-CN"/>
        </w:rPr>
        <w:t>青铜峡市</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配合，做好鱼类资源调查和放流效果评估，对辖区内鱼类资源进行摸底调查，对放流鱼类进行跟踪监测，形成年度评估报告。</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三、实施条件</w:t>
      </w:r>
    </w:p>
    <w:p>
      <w:pPr>
        <w:ind w:firstLine="642" w:firstLineChars="200"/>
        <w:rPr>
          <w:rFonts w:hint="eastAsia" w:ascii="仿宋" w:hAnsi="仿宋" w:eastAsia="仿宋" w:cs="仿宋"/>
          <w:sz w:val="32"/>
          <w:szCs w:val="32"/>
          <w:lang w:eastAsia="zh-CN"/>
        </w:rPr>
      </w:pPr>
      <w:r>
        <w:rPr>
          <w:rFonts w:hint="eastAsia" w:ascii="楷体" w:hAnsi="楷体" w:eastAsia="楷体" w:cs="楷体"/>
          <w:b/>
          <w:bCs/>
          <w:sz w:val="32"/>
          <w:szCs w:val="32"/>
        </w:rPr>
        <w:t>(一)供苗单位要求。</w:t>
      </w:r>
      <w:r>
        <w:rPr>
          <w:rFonts w:hint="eastAsia" w:ascii="仿宋" w:hAnsi="仿宋" w:eastAsia="仿宋" w:cs="仿宋"/>
          <w:sz w:val="32"/>
          <w:szCs w:val="32"/>
        </w:rPr>
        <w:t>供苗单位应具有自治区级水产苗种生产许可证，信誉良好，亲本来源清晰，生产设施条件完善，技术保障能力强，具有相应生产能力，符合《农业部办公厅关于进一步加强水生生物经济物种增殖放流苗种管理的通知》(农办渔[2014)55号)等相关要求。</w:t>
      </w:r>
      <w:r>
        <w:rPr>
          <w:rFonts w:hint="eastAsia" w:ascii="仿宋" w:hAnsi="仿宋" w:eastAsia="仿宋" w:cs="仿宋"/>
          <w:sz w:val="32"/>
          <w:szCs w:val="32"/>
          <w:lang w:eastAsia="zh-CN"/>
        </w:rPr>
        <w:t>供苗单位</w:t>
      </w:r>
      <w:r>
        <w:rPr>
          <w:rFonts w:hint="eastAsia" w:ascii="仿宋" w:hAnsi="仿宋" w:eastAsia="仿宋" w:cs="仿宋"/>
          <w:sz w:val="32"/>
          <w:szCs w:val="32"/>
        </w:rPr>
        <w:t>要在农业农村部“水生生物增殖放流苗种供应单位信息系统(智能渔技)”(以下简称“系统”)可查询</w:t>
      </w:r>
      <w:r>
        <w:rPr>
          <w:rFonts w:hint="eastAsia" w:ascii="仿宋" w:hAnsi="仿宋" w:eastAsia="仿宋" w:cs="仿宋"/>
          <w:sz w:val="32"/>
          <w:szCs w:val="32"/>
          <w:lang w:eastAsia="zh-CN"/>
        </w:rPr>
        <w:t>，</w:t>
      </w:r>
      <w:r>
        <w:rPr>
          <w:rFonts w:hint="eastAsia" w:ascii="仿宋" w:hAnsi="仿宋" w:eastAsia="仿宋" w:cs="仿宋"/>
          <w:sz w:val="32"/>
          <w:szCs w:val="32"/>
        </w:rPr>
        <w:t>增殖放流的经济物种苗种原则上应来自系统公布的单位;</w:t>
      </w:r>
      <w:r>
        <w:rPr>
          <w:rFonts w:hint="eastAsia" w:ascii="仿宋" w:hAnsi="仿宋" w:eastAsia="仿宋" w:cs="仿宋"/>
          <w:sz w:val="32"/>
          <w:szCs w:val="32"/>
          <w:lang w:eastAsia="zh-CN"/>
        </w:rPr>
        <w:t>所有增殖放流水生生物应依法经检验合格。</w:t>
      </w:r>
    </w:p>
    <w:p>
      <w:pPr>
        <w:ind w:firstLine="642" w:firstLineChars="200"/>
        <w:rPr>
          <w:rFonts w:hint="eastAsia" w:ascii="仿宋" w:hAnsi="仿宋" w:eastAsia="仿宋" w:cs="仿宋"/>
          <w:sz w:val="32"/>
          <w:szCs w:val="32"/>
        </w:rPr>
      </w:pPr>
      <w:r>
        <w:rPr>
          <w:rFonts w:hint="eastAsia" w:ascii="楷体" w:hAnsi="楷体" w:eastAsia="楷体" w:cs="楷体"/>
          <w:b/>
          <w:bCs/>
          <w:sz w:val="32"/>
          <w:szCs w:val="32"/>
        </w:rPr>
        <w:t>(二)放流水域。</w:t>
      </w:r>
      <w:r>
        <w:rPr>
          <w:rFonts w:hint="eastAsia" w:ascii="仿宋" w:hAnsi="仿宋" w:eastAsia="仿宋" w:cs="仿宋"/>
          <w:sz w:val="32"/>
          <w:szCs w:val="32"/>
          <w:lang w:eastAsia="zh-CN"/>
        </w:rPr>
        <w:t>在</w:t>
      </w:r>
      <w:r>
        <w:rPr>
          <w:rFonts w:hint="eastAsia" w:ascii="仿宋" w:hAnsi="仿宋" w:eastAsia="仿宋" w:cs="仿宋"/>
          <w:sz w:val="32"/>
          <w:szCs w:val="32"/>
        </w:rPr>
        <w:t>黄河宁夏</w:t>
      </w:r>
      <w:r>
        <w:rPr>
          <w:rFonts w:hint="eastAsia" w:ascii="仿宋" w:hAnsi="仿宋" w:eastAsia="仿宋" w:cs="仿宋"/>
          <w:sz w:val="32"/>
          <w:szCs w:val="32"/>
          <w:lang w:eastAsia="zh-CN"/>
        </w:rPr>
        <w:t>青铜峡</w:t>
      </w:r>
      <w:r>
        <w:rPr>
          <w:rFonts w:hint="eastAsia" w:ascii="仿宋" w:hAnsi="仿宋" w:eastAsia="仿宋" w:cs="仿宋"/>
          <w:sz w:val="32"/>
          <w:szCs w:val="32"/>
        </w:rPr>
        <w:t>段干流实施增殖放流工作。</w:t>
      </w:r>
    </w:p>
    <w:p>
      <w:pPr>
        <w:ind w:firstLine="642" w:firstLineChars="200"/>
        <w:rPr>
          <w:rFonts w:hint="eastAsia" w:ascii="仿宋" w:hAnsi="仿宋" w:eastAsia="仿宋" w:cs="仿宋"/>
          <w:sz w:val="32"/>
          <w:szCs w:val="32"/>
          <w:lang w:eastAsia="zh-CN"/>
        </w:rPr>
      </w:pPr>
      <w:r>
        <w:rPr>
          <w:rFonts w:hint="eastAsia" w:ascii="楷体" w:hAnsi="楷体" w:eastAsia="楷体" w:cs="楷体"/>
          <w:b/>
          <w:bCs/>
          <w:sz w:val="32"/>
          <w:szCs w:val="32"/>
        </w:rPr>
        <w:t>(三)放流物种。</w:t>
      </w:r>
      <w:r>
        <w:rPr>
          <w:rFonts w:hint="eastAsia" w:ascii="仿宋" w:hAnsi="仿宋" w:eastAsia="仿宋" w:cs="仿宋"/>
          <w:sz w:val="32"/>
          <w:szCs w:val="32"/>
        </w:rPr>
        <w:t>按照《</w:t>
      </w:r>
      <w:r>
        <w:rPr>
          <w:rFonts w:hint="eastAsia" w:ascii="仿宋" w:hAnsi="仿宋" w:eastAsia="仿宋" w:cs="仿宋"/>
          <w:sz w:val="32"/>
          <w:szCs w:val="32"/>
          <w:lang w:eastAsia="zh-CN"/>
        </w:rPr>
        <w:t>关于印发</w:t>
      </w:r>
      <w:r>
        <w:rPr>
          <w:rFonts w:hint="eastAsia" w:ascii="仿宋" w:hAnsi="仿宋" w:eastAsia="仿宋" w:cs="仿宋"/>
          <w:sz w:val="32"/>
          <w:szCs w:val="32"/>
          <w:lang w:val="en-US" w:eastAsia="zh-CN"/>
        </w:rPr>
        <w:t>2025年中央财政支农渔业领域项目方案的通知</w:t>
      </w:r>
      <w:r>
        <w:rPr>
          <w:rFonts w:hint="eastAsia" w:ascii="仿宋" w:hAnsi="仿宋" w:eastAsia="仿宋" w:cs="仿宋"/>
          <w:sz w:val="32"/>
          <w:szCs w:val="32"/>
        </w:rPr>
        <w:t>》(农</w:t>
      </w:r>
      <w:r>
        <w:rPr>
          <w:rFonts w:hint="eastAsia" w:ascii="仿宋" w:hAnsi="仿宋" w:eastAsia="仿宋" w:cs="仿宋"/>
          <w:sz w:val="32"/>
          <w:szCs w:val="32"/>
          <w:lang w:eastAsia="zh-CN"/>
        </w:rPr>
        <w:t>农局（渔）发</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r>
        <w:rPr>
          <w:rFonts w:hint="eastAsia" w:ascii="仿宋" w:hAnsi="仿宋" w:eastAsia="仿宋" w:cs="仿宋"/>
          <w:sz w:val="32"/>
          <w:szCs w:val="32"/>
          <w:lang w:eastAsia="zh-CN"/>
        </w:rPr>
        <w:t>要求</w:t>
      </w:r>
      <w:r>
        <w:rPr>
          <w:rFonts w:hint="eastAsia" w:ascii="仿宋" w:hAnsi="仿宋" w:eastAsia="仿宋" w:cs="仿宋"/>
          <w:sz w:val="32"/>
          <w:szCs w:val="32"/>
        </w:rPr>
        <w:t>选择放流物种</w:t>
      </w:r>
      <w:r>
        <w:rPr>
          <w:rFonts w:hint="eastAsia" w:ascii="仿宋" w:hAnsi="仿宋" w:eastAsia="仿宋" w:cs="仿宋"/>
          <w:sz w:val="32"/>
          <w:szCs w:val="32"/>
          <w:lang w:eastAsia="zh-CN"/>
        </w:rPr>
        <w:t>。</w:t>
      </w:r>
      <w:r>
        <w:rPr>
          <w:rFonts w:hint="eastAsia" w:ascii="仿宋" w:hAnsi="仿宋" w:eastAsia="仿宋" w:cs="仿宋"/>
          <w:sz w:val="32"/>
          <w:szCs w:val="32"/>
        </w:rPr>
        <w:t>淡水广布种包括鲢、鳙、赤眼鳟等，淡水区域性物种为兰州鲶等，严禁使用外来种、杂交种、选育种及其他不符合生态要求的水生生物种开展增殖放流。</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楷体" w:hAnsi="楷体" w:eastAsia="楷体" w:cs="楷体"/>
          <w:b/>
          <w:sz w:val="32"/>
          <w:szCs w:val="32"/>
        </w:rPr>
        <w:t>（一）高度重视，切实落实好增殖放流项目</w:t>
      </w:r>
      <w:r>
        <w:rPr>
          <w:rFonts w:hint="eastAsia" w:ascii="楷体" w:hAnsi="楷体" w:eastAsia="楷体" w:cs="楷体"/>
          <w:b/>
          <w:sz w:val="32"/>
          <w:szCs w:val="32"/>
          <w:lang w:eastAsia="zh-CN"/>
        </w:rPr>
        <w:t>。</w:t>
      </w:r>
      <w:r>
        <w:rPr>
          <w:rFonts w:hint="eastAsia" w:eastAsia="仿宋_GB2312" w:cs="Times New Roman"/>
          <w:sz w:val="32"/>
          <w:szCs w:val="32"/>
          <w:lang w:eastAsia="zh-CN"/>
        </w:rPr>
        <w:t>成立</w:t>
      </w:r>
      <w:r>
        <w:rPr>
          <w:rFonts w:hint="eastAsia" w:ascii="Times New Roman" w:hAnsi="Times New Roman" w:eastAsia="仿宋_GB2312" w:cs="Times New Roman"/>
          <w:sz w:val="32"/>
          <w:szCs w:val="32"/>
          <w:lang w:eastAsia="zh-CN"/>
        </w:rPr>
        <w:t>青铜峡</w:t>
      </w:r>
      <w:r>
        <w:rPr>
          <w:rFonts w:hint="default" w:ascii="Times New Roman" w:hAnsi="Times New Roman" w:eastAsia="仿宋_GB2312" w:cs="Times New Roman"/>
          <w:sz w:val="32"/>
          <w:szCs w:val="32"/>
        </w:rPr>
        <w:t>市鱼类资源增殖放流工作领导小组，组长</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吴振兵，</w:t>
      </w:r>
      <w:r>
        <w:rPr>
          <w:rFonts w:hint="default" w:ascii="Times New Roman" w:hAnsi="Times New Roman" w:eastAsia="仿宋_GB2312" w:cs="Times New Roman"/>
          <w:sz w:val="32"/>
          <w:szCs w:val="32"/>
        </w:rPr>
        <w:t>成员</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盛伟华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刘波、任凯、辛学军、王玲、姜青森、喜军仁、王学红、朱永霞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领导小组负责制定本市鱼类资源增殖放流项目实施方案，并组织实施，确保圆满完成各项目标任务。设置项目资金使用明细账，对渔业资源保护项目进行专账核算、专款专用。</w:t>
      </w:r>
    </w:p>
    <w:p>
      <w:pPr>
        <w:ind w:firstLine="642" w:firstLineChars="200"/>
        <w:rPr>
          <w:rFonts w:hint="eastAsia" w:ascii="仿宋" w:hAnsi="仿宋" w:eastAsia="仿宋" w:cs="仿宋"/>
          <w:sz w:val="32"/>
          <w:szCs w:val="32"/>
        </w:rPr>
      </w:pPr>
      <w:r>
        <w:rPr>
          <w:rFonts w:hint="eastAsia" w:ascii="楷体" w:hAnsi="楷体" w:eastAsia="楷体" w:cs="楷体"/>
          <w:b/>
          <w:bCs/>
          <w:sz w:val="32"/>
          <w:szCs w:val="32"/>
        </w:rPr>
        <w:t>(二)规范资金使用。</w:t>
      </w:r>
      <w:r>
        <w:rPr>
          <w:rFonts w:hint="eastAsia" w:ascii="仿宋" w:hAnsi="仿宋" w:eastAsia="仿宋" w:cs="仿宋"/>
          <w:sz w:val="32"/>
          <w:szCs w:val="32"/>
        </w:rPr>
        <w:t>严格按照中央财政资金使用管理有关要求，将项目资金主要用于补助放流苗种支出，包括购买放流苗种费用、放流前期的苗种检验检疫、暂养、包装、运输费用以及放流期间公证公示、放流苗种标志和放流后期跟踪监测和效果评估费用等，其中购买放流苗种方面的费用支出应占总项目资金的90%以上。资金使用要做到专款专用，不得挪用</w:t>
      </w:r>
    </w:p>
    <w:p>
      <w:pPr>
        <w:ind w:firstLine="642" w:firstLineChars="200"/>
        <w:rPr>
          <w:rFonts w:hint="eastAsia" w:ascii="仿宋" w:hAnsi="仿宋" w:eastAsia="仿宋" w:cs="仿宋"/>
          <w:sz w:val="32"/>
          <w:szCs w:val="32"/>
        </w:rPr>
      </w:pPr>
      <w:r>
        <w:rPr>
          <w:rFonts w:hint="eastAsia" w:ascii="楷体" w:hAnsi="楷体" w:eastAsia="楷体" w:cs="楷体"/>
          <w:b/>
          <w:bCs/>
          <w:sz w:val="32"/>
          <w:szCs w:val="32"/>
        </w:rPr>
        <w:t>(三)做好苗种标记。</w:t>
      </w:r>
      <w:r>
        <w:rPr>
          <w:rFonts w:hint="eastAsia" w:ascii="仿宋" w:hAnsi="仿宋" w:eastAsia="仿宋" w:cs="仿宋"/>
          <w:sz w:val="32"/>
          <w:szCs w:val="32"/>
        </w:rPr>
        <w:t>为科学准确评估增殖放流成效，在放流前将确定的放流区域告知自治区水产技术推广站备案，并要求中标供苗单位将采购的苗种，按照采购苗种1%比例，采取剪切尾鳍下叶方式进行标记(标记费用可计入采购费)，以便放流后开展效果评估。</w:t>
      </w:r>
    </w:p>
    <w:p>
      <w:pPr>
        <w:ind w:firstLine="642" w:firstLineChars="200"/>
        <w:rPr>
          <w:rFonts w:hint="eastAsia" w:ascii="仿宋" w:hAnsi="仿宋" w:eastAsia="仿宋" w:cs="仿宋"/>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)加强档案管理。</w:t>
      </w:r>
      <w:r>
        <w:rPr>
          <w:rFonts w:hint="eastAsia" w:ascii="仿宋" w:hAnsi="仿宋" w:eastAsia="仿宋" w:cs="仿宋"/>
          <w:sz w:val="32"/>
          <w:szCs w:val="32"/>
        </w:rPr>
        <w:t>项目实施完毕，要及时将有关资料归档备查，主要包括:实施方案、财务决算说明、招投标情况、苗种生产单位信息登记表、苗种供应单位资质、苗种采购合同、苗种采购支付凭证、苗种检疫证明、增殖放流公示书、增殖放流物种验收交接记录、公证书、增殖</w:t>
      </w:r>
      <w:r>
        <w:rPr>
          <w:rFonts w:hint="eastAsia" w:ascii="仿宋" w:hAnsi="仿宋" w:eastAsia="仿宋" w:cs="仿宋"/>
          <w:sz w:val="32"/>
          <w:szCs w:val="32"/>
          <w:lang w:eastAsia="zh-CN"/>
        </w:rPr>
        <w:t>放流影像资料、绩效自评报告等。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青铜峡市畜牧水产技术推广服务中心于</w:t>
      </w:r>
      <w:r>
        <w:rPr>
          <w:rFonts w:hint="eastAsia" w:ascii="仿宋" w:hAnsi="仿宋" w:eastAsia="仿宋" w:cs="仿宋"/>
          <w:sz w:val="32"/>
          <w:szCs w:val="32"/>
          <w:lang w:val="en-US" w:eastAsia="zh-CN"/>
        </w:rPr>
        <w:t>2025年11月底前，将项目绩效评估报告以正式文件报自治区农业农村厅渔业渔政管理局。增殖放流年度任务完成后，将增殖放流资金使用和绩效完成情况录入农业农村部转移支付管理平台。并统计汇总增殖放流的资金渠道、放流种类、数量、水域等基础信息，通过全国水生生物资源养护信息采集系统提交。</w:t>
      </w:r>
    </w:p>
    <w:p>
      <w:pPr>
        <w:rPr>
          <w:rFonts w:hint="eastAsia"/>
          <w:lang w:val="en-US" w:eastAsia="zh-CN"/>
        </w:rPr>
      </w:pPr>
    </w:p>
    <w:p>
      <w:pPr>
        <w:jc w:val="center"/>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附件：</w:t>
      </w:r>
      <w:r>
        <w:rPr>
          <w:rFonts w:hint="eastAsia" w:ascii="仿宋_GB2312" w:hAnsi="宋体" w:eastAsia="仿宋_GB2312"/>
          <w:sz w:val="32"/>
          <w:szCs w:val="32"/>
          <w:lang w:val="en-US" w:eastAsia="zh-CN"/>
        </w:rPr>
        <w:t xml:space="preserve">1、 </w:t>
      </w:r>
      <w:r>
        <w:rPr>
          <w:rFonts w:hint="eastAsia" w:ascii="仿宋" w:hAnsi="仿宋" w:eastAsia="仿宋" w:cs="仿宋"/>
          <w:sz w:val="32"/>
          <w:szCs w:val="32"/>
          <w:lang w:val="en-US" w:eastAsia="zh-CN"/>
        </w:rPr>
        <w:t>2025年青铜峡市</w:t>
      </w:r>
      <w:r>
        <w:rPr>
          <w:rFonts w:hint="eastAsia" w:ascii="仿宋_GB2312" w:hAnsi="仿宋_GB2312" w:eastAsia="仿宋_GB2312" w:cs="仿宋_GB2312"/>
          <w:sz w:val="32"/>
          <w:szCs w:val="32"/>
          <w:lang w:val="en-US" w:eastAsia="zh-CN"/>
        </w:rPr>
        <w:t>渔业资源保护项目</w:t>
      </w:r>
      <w:r>
        <w:rPr>
          <w:rFonts w:hint="eastAsia" w:ascii="仿宋" w:hAnsi="仿宋" w:eastAsia="仿宋" w:cs="仿宋"/>
          <w:sz w:val="32"/>
          <w:szCs w:val="32"/>
          <w:lang w:val="en-US" w:eastAsia="zh-CN"/>
        </w:rPr>
        <w:t>绩效目标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32"/>
          <w:szCs w:val="32"/>
          <w:lang w:eastAsia="zh-CN"/>
        </w:rPr>
      </w:pP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lang w:val="en" w:eastAsia="zh-CN"/>
        </w:rPr>
        <w:t xml:space="preserve"> </w:t>
      </w:r>
      <w:r>
        <w:rPr>
          <w:rFonts w:hint="eastAsia" w:ascii="仿宋_GB2312" w:hAnsi="宋体" w:eastAsia="仿宋_GB2312"/>
          <w:sz w:val="32"/>
          <w:szCs w:val="32"/>
          <w:lang w:val="en-US" w:eastAsia="zh-CN"/>
        </w:rPr>
        <w:t xml:space="preserve"> 2、</w:t>
      </w:r>
      <w:r>
        <w:rPr>
          <w:rFonts w:hint="eastAsia" w:ascii="仿宋_GB2312" w:hAnsi="宋体" w:eastAsia="仿宋_GB2312"/>
          <w:spacing w:val="-10"/>
          <w:sz w:val="32"/>
          <w:szCs w:val="32"/>
          <w:lang w:val="en-US" w:eastAsia="zh-CN"/>
        </w:rPr>
        <w:t>青铜峡市2025</w:t>
      </w:r>
      <w:r>
        <w:rPr>
          <w:rFonts w:hint="eastAsia" w:ascii="仿宋_GB2312" w:hAnsi="宋体" w:eastAsia="仿宋_GB2312"/>
          <w:spacing w:val="-20"/>
          <w:sz w:val="32"/>
          <w:szCs w:val="32"/>
        </w:rPr>
        <w:t>年</w:t>
      </w:r>
      <w:r>
        <w:rPr>
          <w:rFonts w:hint="eastAsia" w:ascii="Times New Roman" w:hAnsi="Times New Roman" w:eastAsia="仿宋_GB2312" w:cs="Times New Roman"/>
          <w:sz w:val="32"/>
          <w:szCs w:val="32"/>
          <w:lang w:eastAsia="zh-CN"/>
        </w:rPr>
        <w:t>渔业资源保护项目资金计表</w:t>
      </w:r>
    </w:p>
    <w:p>
      <w:pPr>
        <w:keepNext w:val="0"/>
        <w:keepLines w:val="0"/>
        <w:pageBreakBefore w:val="0"/>
        <w:widowControl w:val="0"/>
        <w:kinsoku/>
        <w:wordWrap/>
        <w:overflowPunct/>
        <w:topLinePunct w:val="0"/>
        <w:autoSpaceDE/>
        <w:autoSpaceDN/>
        <w:bidi w:val="0"/>
        <w:adjustRightInd/>
        <w:snapToGrid/>
        <w:ind w:left="1838" w:leftChars="304" w:hanging="1200" w:hangingChars="400"/>
        <w:jc w:val="both"/>
        <w:textAlignment w:val="auto"/>
        <w:rPr>
          <w:rFonts w:hint="eastAsia"/>
        </w:rPr>
      </w:pPr>
      <w:r>
        <w:rPr>
          <w:rFonts w:hint="eastAsia" w:ascii="仿宋_GB2312" w:hAnsi="宋体" w:eastAsia="仿宋_GB2312"/>
          <w:spacing w:val="-10"/>
          <w:sz w:val="32"/>
          <w:szCs w:val="32"/>
          <w:lang w:val="en-US" w:eastAsia="zh-CN"/>
        </w:rPr>
        <w:t xml:space="preserve">      3、青铜峡市2025</w:t>
      </w:r>
      <w:r>
        <w:rPr>
          <w:rFonts w:hint="eastAsia" w:ascii="仿宋_GB2312" w:hAnsi="宋体" w:eastAsia="仿宋_GB2312"/>
          <w:spacing w:val="-20"/>
          <w:sz w:val="32"/>
          <w:szCs w:val="32"/>
        </w:rPr>
        <w:t>年渔业</w:t>
      </w:r>
      <w:r>
        <w:rPr>
          <w:rFonts w:hint="eastAsia" w:ascii="仿宋_GB2312" w:hAnsi="宋体" w:eastAsia="仿宋_GB2312"/>
          <w:spacing w:val="-10"/>
          <w:sz w:val="32"/>
          <w:szCs w:val="32"/>
        </w:rPr>
        <w:t>资源保护项目绩效考核实施方案</w:t>
      </w:r>
    </w:p>
    <w:p>
      <w:pPr>
        <w:keepNext w:val="0"/>
        <w:keepLines w:val="0"/>
        <w:pageBreakBefore w:val="0"/>
        <w:widowControl w:val="0"/>
        <w:kinsoku/>
        <w:wordWrap/>
        <w:overflowPunct/>
        <w:topLinePunct w:val="0"/>
        <w:autoSpaceDE/>
        <w:autoSpaceDN/>
        <w:bidi w:val="0"/>
        <w:adjustRightInd/>
        <w:snapToGrid/>
        <w:ind w:left="1600" w:right="0" w:rightChars="0" w:hanging="1600" w:hangingChars="50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4、</w:t>
      </w:r>
      <w:r>
        <w:rPr>
          <w:rFonts w:hint="eastAsia" w:ascii="仿宋_GB2312" w:hAnsi="宋体" w:eastAsia="仿宋_GB2312"/>
          <w:spacing w:val="-10"/>
          <w:sz w:val="32"/>
          <w:szCs w:val="32"/>
          <w:lang w:val="en-US" w:eastAsia="zh-CN"/>
        </w:rPr>
        <w:t>青铜峡市2025</w:t>
      </w:r>
      <w:r>
        <w:rPr>
          <w:rFonts w:hint="eastAsia" w:ascii="仿宋_GB2312" w:hAnsi="宋体" w:eastAsia="仿宋_GB2312"/>
          <w:spacing w:val="-20"/>
          <w:sz w:val="32"/>
          <w:szCs w:val="32"/>
        </w:rPr>
        <w:t>年</w:t>
      </w:r>
      <w:r>
        <w:rPr>
          <w:rFonts w:hint="eastAsia" w:ascii="仿宋_GB2312" w:hAnsi="宋体" w:eastAsia="仿宋_GB2312"/>
          <w:spacing w:val="-10"/>
          <w:sz w:val="32"/>
          <w:szCs w:val="32"/>
        </w:rPr>
        <w:t>渔业资源保护</w:t>
      </w:r>
      <w:r>
        <w:rPr>
          <w:rFonts w:hint="eastAsia" w:ascii="仿宋_GB2312" w:hAnsi="宋体" w:eastAsia="仿宋_GB2312" w:cs="Times New Roman"/>
          <w:sz w:val="32"/>
          <w:szCs w:val="32"/>
          <w:lang w:val="en-US" w:eastAsia="zh-CN"/>
        </w:rPr>
        <w:t xml:space="preserve">项目绩效指标体系 </w:t>
      </w:r>
    </w:p>
    <w:p>
      <w:pPr>
        <w:keepNext w:val="0"/>
        <w:keepLines w:val="0"/>
        <w:pageBreakBefore w:val="0"/>
        <w:widowControl w:val="0"/>
        <w:kinsoku/>
        <w:wordWrap/>
        <w:overflowPunct/>
        <w:topLinePunct w:val="0"/>
        <w:autoSpaceDE/>
        <w:autoSpaceDN/>
        <w:bidi w:val="0"/>
        <w:adjustRightInd/>
        <w:snapToGrid/>
        <w:ind w:right="0" w:rightChars="0"/>
        <w:jc w:val="both"/>
        <w:textAlignment w:val="auto"/>
        <w:outlineLvl w:val="9"/>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5、</w:t>
      </w:r>
      <w:r>
        <w:rPr>
          <w:rFonts w:hint="eastAsia" w:ascii="仿宋_GB2312" w:hAnsi="宋体" w:eastAsia="仿宋_GB2312"/>
          <w:spacing w:val="-10"/>
          <w:sz w:val="32"/>
          <w:szCs w:val="32"/>
          <w:lang w:val="en-US" w:eastAsia="zh-CN"/>
        </w:rPr>
        <w:t>青铜峡市2025</w:t>
      </w:r>
      <w:r>
        <w:rPr>
          <w:rFonts w:hint="eastAsia" w:ascii="仿宋_GB2312" w:hAnsi="宋体" w:eastAsia="仿宋_GB2312"/>
          <w:spacing w:val="-20"/>
          <w:sz w:val="32"/>
          <w:szCs w:val="32"/>
        </w:rPr>
        <w:t>年</w:t>
      </w:r>
      <w:r>
        <w:rPr>
          <w:rFonts w:hint="eastAsia" w:ascii="仿宋_GB2312" w:hAnsi="宋体" w:eastAsia="仿宋_GB2312"/>
          <w:spacing w:val="-10"/>
          <w:sz w:val="32"/>
          <w:szCs w:val="32"/>
        </w:rPr>
        <w:t>渔业资源保护</w:t>
      </w:r>
      <w:r>
        <w:rPr>
          <w:rFonts w:hint="eastAsia" w:ascii="仿宋_GB2312" w:hAnsi="宋体" w:eastAsia="仿宋_GB2312" w:cs="Times New Roman"/>
          <w:sz w:val="32"/>
          <w:szCs w:val="32"/>
          <w:lang w:val="en-US" w:eastAsia="zh-CN"/>
        </w:rPr>
        <w:t>项目绩效目标表</w:t>
      </w:r>
    </w:p>
    <w:p>
      <w:pPr>
        <w:pStyle w:val="4"/>
        <w:rPr>
          <w:rFonts w:hint="eastAsia" w:ascii="仿宋_GB2312" w:hAnsi="宋体" w:eastAsia="仿宋_GB2312" w:cs="Times New Roman"/>
          <w:sz w:val="32"/>
          <w:szCs w:val="32"/>
          <w:lang w:val="en-US" w:eastAsia="zh-CN"/>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2025年青铜峡市渔业资源保护项目绩效目标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292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vMerge w:val="restart"/>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地区</w:t>
            </w:r>
          </w:p>
        </w:tc>
        <w:tc>
          <w:tcPr>
            <w:tcW w:w="6105" w:type="dxa"/>
            <w:gridSpan w:val="2"/>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淡水广布种流放数量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vMerge w:val="continue"/>
            <w:noWrap w:val="0"/>
            <w:vAlign w:val="top"/>
          </w:tcPr>
          <w:p>
            <w:pPr>
              <w:rPr>
                <w:rFonts w:hint="eastAsia" w:ascii="仿宋" w:hAnsi="仿宋" w:eastAsia="仿宋" w:cs="仿宋"/>
                <w:sz w:val="28"/>
                <w:szCs w:val="28"/>
                <w:vertAlign w:val="baseline"/>
                <w:lang w:val="en-US" w:eastAsia="zh-CN"/>
              </w:rPr>
            </w:pPr>
          </w:p>
        </w:tc>
        <w:tc>
          <w:tcPr>
            <w:tcW w:w="292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标准淡水鱼广布种流放数量（万尾）</w:t>
            </w:r>
          </w:p>
        </w:tc>
        <w:tc>
          <w:tcPr>
            <w:tcW w:w="31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淡水区域性物种流放数量（万尾）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dxa"/>
            <w:noWrap w:val="0"/>
            <w:vAlign w:val="top"/>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青铜峡市</w:t>
            </w:r>
            <w:r>
              <w:rPr>
                <w:rFonts w:hint="eastAsia" w:ascii="仿宋" w:hAnsi="仿宋" w:eastAsia="仿宋" w:cs="仿宋"/>
                <w:sz w:val="24"/>
                <w:szCs w:val="24"/>
                <w:vertAlign w:val="baseline"/>
                <w:lang w:val="en-US" w:eastAsia="zh-CN"/>
              </w:rPr>
              <w:t>（合计）</w:t>
            </w:r>
          </w:p>
        </w:tc>
        <w:tc>
          <w:tcPr>
            <w:tcW w:w="2925"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50</w:t>
            </w:r>
          </w:p>
        </w:tc>
        <w:tc>
          <w:tcPr>
            <w:tcW w:w="318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7" w:type="dxa"/>
            <w:noWrap w:val="0"/>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其中：黄河宁夏青铜峡段干流</w:t>
            </w:r>
          </w:p>
        </w:tc>
        <w:tc>
          <w:tcPr>
            <w:tcW w:w="292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50</w:t>
            </w:r>
          </w:p>
        </w:tc>
        <w:tc>
          <w:tcPr>
            <w:tcW w:w="3180" w:type="dxa"/>
            <w:noWrap w:val="0"/>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w:t>
            </w: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备注:淡水广布种包括鲢、鳙、草鱼、赤眼鳟等，其中标准淡水鱼广布种苗种约3-4公分以上，大规格淡水鱼广布种苗种为10公分以上;淡水区域性物种为兰州鲶等。</w:t>
      </w: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eastAsia" w:ascii="黑体" w:hAnsi="黑体" w:eastAsia="黑体" w:cs="黑体"/>
          <w:sz w:val="32"/>
          <w:szCs w:val="32"/>
        </w:rPr>
      </w:pPr>
    </w:p>
    <w:p>
      <w:pPr>
        <w:pStyle w:val="6"/>
        <w:spacing w:before="0" w:beforeAutospacing="0" w:after="0" w:afterAutospacing="0" w:line="240" w:lineRule="auto"/>
        <w:ind w:right="640"/>
        <w:jc w:val="both"/>
        <w:textAlignment w:val="baseline"/>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before="156" w:beforeLines="50"/>
        <w:jc w:val="center"/>
        <w:rPr>
          <w:rFonts w:hint="eastAsia" w:ascii="宋体" w:hAnsi="宋体" w:eastAsia="宋体" w:cs="宋体"/>
          <w:b/>
          <w:bCs/>
          <w:w w:val="90"/>
          <w:sz w:val="32"/>
          <w:szCs w:val="32"/>
        </w:rPr>
      </w:pPr>
      <w:r>
        <w:rPr>
          <w:rFonts w:hint="eastAsia" w:ascii="宋体" w:hAnsi="宋体" w:eastAsia="宋体" w:cs="宋体"/>
          <w:b/>
          <w:bCs/>
          <w:w w:val="90"/>
          <w:sz w:val="32"/>
          <w:szCs w:val="32"/>
          <w:lang w:eastAsia="zh-CN"/>
        </w:rPr>
        <w:t>青铜峡市</w:t>
      </w:r>
      <w:r>
        <w:rPr>
          <w:rFonts w:hint="eastAsia" w:ascii="宋体" w:hAnsi="宋体" w:eastAsia="宋体" w:cs="宋体"/>
          <w:b/>
          <w:bCs/>
          <w:w w:val="90"/>
          <w:sz w:val="32"/>
          <w:szCs w:val="32"/>
        </w:rPr>
        <w:t>202</w:t>
      </w:r>
      <w:r>
        <w:rPr>
          <w:rFonts w:hint="eastAsia" w:ascii="宋体" w:hAnsi="宋体" w:eastAsia="宋体" w:cs="宋体"/>
          <w:b/>
          <w:bCs/>
          <w:w w:val="90"/>
          <w:sz w:val="32"/>
          <w:szCs w:val="32"/>
          <w:lang w:val="en-US" w:eastAsia="zh-CN"/>
        </w:rPr>
        <w:t>5</w:t>
      </w:r>
      <w:r>
        <w:rPr>
          <w:rFonts w:hint="eastAsia" w:ascii="宋体" w:hAnsi="宋体" w:eastAsia="宋体" w:cs="宋体"/>
          <w:b/>
          <w:bCs/>
          <w:w w:val="90"/>
          <w:sz w:val="32"/>
          <w:szCs w:val="32"/>
        </w:rPr>
        <w:t>年</w:t>
      </w:r>
      <w:r>
        <w:rPr>
          <w:rFonts w:hint="eastAsia" w:ascii="宋体" w:hAnsi="宋体" w:eastAsia="宋体" w:cs="宋体"/>
          <w:b/>
          <w:bCs/>
          <w:w w:val="90"/>
          <w:sz w:val="32"/>
          <w:szCs w:val="32"/>
          <w:lang w:eastAsia="zh-CN"/>
        </w:rPr>
        <w:t>渔业资源保护</w:t>
      </w:r>
      <w:r>
        <w:rPr>
          <w:rFonts w:hint="eastAsia" w:ascii="宋体" w:hAnsi="宋体" w:eastAsia="宋体" w:cs="宋体"/>
          <w:b/>
          <w:bCs/>
          <w:w w:val="90"/>
          <w:sz w:val="32"/>
          <w:szCs w:val="32"/>
        </w:rPr>
        <w:t>项目资金计划表</w:t>
      </w:r>
    </w:p>
    <w:p>
      <w:pPr>
        <w:jc w:val="center"/>
        <w:rPr>
          <w:rFonts w:hint="eastAsia" w:ascii="黑体" w:hAnsi="黑体" w:eastAsia="黑体" w:cs="黑体"/>
          <w:sz w:val="32"/>
          <w:szCs w:val="32"/>
        </w:rPr>
      </w:pPr>
      <w:r>
        <w:rPr>
          <w:rFonts w:hint="eastAsia" w:ascii="宋体" w:hAnsi="宋体"/>
          <w:b/>
          <w:bCs/>
          <w:sz w:val="32"/>
          <w:szCs w:val="32"/>
        </w:rPr>
        <w:t xml:space="preserve">                                           </w:t>
      </w:r>
      <w:r>
        <w:rPr>
          <w:rFonts w:hint="eastAsia" w:ascii="仿宋_GB2312" w:hAnsi="宋体" w:eastAsia="仿宋_GB2312"/>
          <w:sz w:val="28"/>
          <w:szCs w:val="28"/>
        </w:rPr>
        <w:t>单位：万元</w:t>
      </w:r>
    </w:p>
    <w:tbl>
      <w:tblPr>
        <w:tblStyle w:val="7"/>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380"/>
        <w:gridCol w:w="1080"/>
        <w:gridCol w:w="2805"/>
        <w:gridCol w:w="105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71" w:type="dxa"/>
            <w:vMerge w:val="restart"/>
            <w:shd w:val="clear" w:color="auto" w:fill="auto"/>
            <w:vAlign w:val="center"/>
          </w:tcPr>
          <w:p>
            <w:pPr>
              <w:ind w:firstLine="120" w:firstLineChars="50"/>
              <w:jc w:val="center"/>
              <w:rPr>
                <w:rFonts w:hint="eastAsia" w:ascii="宋体" w:hAnsi="宋体" w:cs="宋体"/>
                <w:b/>
                <w:sz w:val="24"/>
                <w:lang w:eastAsia="zh-CN"/>
              </w:rPr>
            </w:pPr>
            <w:r>
              <w:rPr>
                <w:rFonts w:hint="eastAsia" w:ascii="宋体" w:hAnsi="宋体" w:cs="宋体"/>
                <w:b/>
                <w:sz w:val="24"/>
                <w:lang w:eastAsia="zh-CN"/>
              </w:rPr>
              <w:t>项目</w:t>
            </w:r>
          </w:p>
          <w:p>
            <w:pPr>
              <w:ind w:firstLine="120" w:firstLineChars="50"/>
              <w:jc w:val="center"/>
              <w:rPr>
                <w:rFonts w:hint="eastAsia" w:ascii="宋体" w:hAnsi="宋体" w:eastAsia="宋体" w:cs="宋体"/>
                <w:b/>
                <w:sz w:val="24"/>
                <w:lang w:eastAsia="zh-CN"/>
              </w:rPr>
            </w:pPr>
            <w:r>
              <w:rPr>
                <w:rFonts w:hint="eastAsia" w:ascii="宋体" w:hAnsi="宋体" w:cs="宋体"/>
                <w:b/>
                <w:sz w:val="24"/>
                <w:lang w:eastAsia="zh-CN"/>
              </w:rPr>
              <w:t>名称</w:t>
            </w:r>
          </w:p>
        </w:tc>
        <w:tc>
          <w:tcPr>
            <w:tcW w:w="6315" w:type="dxa"/>
            <w:gridSpan w:val="4"/>
            <w:shd w:val="clear" w:color="auto" w:fill="auto"/>
            <w:vAlign w:val="center"/>
          </w:tcPr>
          <w:p>
            <w:pPr>
              <w:jc w:val="center"/>
              <w:rPr>
                <w:rFonts w:hint="eastAsia" w:ascii="宋体" w:hAnsi="宋体" w:cs="宋体"/>
                <w:b/>
                <w:bCs/>
                <w:sz w:val="24"/>
              </w:rPr>
            </w:pPr>
            <w:r>
              <w:rPr>
                <w:rFonts w:hint="eastAsia" w:ascii="宋体" w:hAnsi="宋体" w:cs="宋体"/>
                <w:b/>
                <w:bCs/>
                <w:sz w:val="24"/>
              </w:rPr>
              <w:t>指导性资金</w:t>
            </w:r>
            <w:r>
              <w:rPr>
                <w:rFonts w:hint="eastAsia" w:ascii="宋体" w:hAnsi="宋体" w:cs="宋体"/>
                <w:b/>
                <w:bCs/>
                <w:sz w:val="24"/>
                <w:lang w:eastAsia="zh-CN"/>
              </w:rPr>
              <w:t>（</w:t>
            </w:r>
            <w:r>
              <w:rPr>
                <w:rFonts w:hint="eastAsia" w:ascii="宋体" w:hAnsi="宋体" w:cs="宋体"/>
                <w:b/>
                <w:sz w:val="24"/>
              </w:rPr>
              <w:t>中央</w:t>
            </w:r>
            <w:r>
              <w:rPr>
                <w:rFonts w:hint="eastAsia" w:ascii="宋体" w:hAnsi="宋体" w:cs="宋体"/>
                <w:b/>
                <w:bCs/>
                <w:sz w:val="24"/>
                <w:lang w:eastAsia="zh-CN"/>
              </w:rPr>
              <w:t>）</w:t>
            </w:r>
          </w:p>
        </w:tc>
        <w:tc>
          <w:tcPr>
            <w:tcW w:w="1035" w:type="dxa"/>
            <w:vMerge w:val="restart"/>
            <w:vAlign w:val="center"/>
          </w:tcPr>
          <w:p>
            <w:pPr>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71" w:type="dxa"/>
            <w:vMerge w:val="continue"/>
            <w:shd w:val="clear" w:color="auto" w:fill="auto"/>
            <w:vAlign w:val="center"/>
          </w:tcPr>
          <w:p>
            <w:pPr>
              <w:jc w:val="center"/>
            </w:pPr>
          </w:p>
        </w:tc>
        <w:tc>
          <w:tcPr>
            <w:tcW w:w="2460" w:type="dxa"/>
            <w:gridSpan w:val="2"/>
            <w:shd w:val="clear" w:color="auto" w:fill="auto"/>
            <w:vAlign w:val="center"/>
          </w:tcPr>
          <w:p>
            <w:pPr>
              <w:jc w:val="center"/>
              <w:rPr>
                <w:rFonts w:hint="eastAsia" w:ascii="宋体" w:hAnsi="宋体" w:eastAsia="宋体" w:cs="宋体"/>
                <w:b/>
                <w:bCs/>
                <w:sz w:val="24"/>
                <w:lang w:eastAsia="zh-CN"/>
              </w:rPr>
            </w:pPr>
            <w:r>
              <w:rPr>
                <w:rFonts w:hint="eastAsia" w:ascii="宋体" w:hAnsi="宋体" w:cs="宋体"/>
                <w:b/>
                <w:bCs/>
                <w:sz w:val="24"/>
                <w:lang w:eastAsia="zh-CN"/>
              </w:rPr>
              <w:t>苗种费</w:t>
            </w:r>
          </w:p>
        </w:tc>
        <w:tc>
          <w:tcPr>
            <w:tcW w:w="3855" w:type="dxa"/>
            <w:gridSpan w:val="2"/>
            <w:shd w:val="clear" w:color="auto" w:fill="auto"/>
            <w:vAlign w:val="center"/>
          </w:tcPr>
          <w:p>
            <w:pPr>
              <w:jc w:val="center"/>
              <w:rPr>
                <w:rFonts w:hint="eastAsia" w:ascii="宋体" w:hAnsi="宋体" w:cs="宋体"/>
                <w:b/>
                <w:bCs/>
                <w:sz w:val="24"/>
                <w:lang w:eastAsia="zh-CN"/>
              </w:rPr>
            </w:pPr>
            <w:r>
              <w:rPr>
                <w:rFonts w:hint="eastAsia" w:ascii="宋体" w:hAnsi="宋体" w:cs="宋体"/>
                <w:b/>
                <w:bCs/>
                <w:sz w:val="24"/>
                <w:lang w:eastAsia="zh-CN"/>
              </w:rPr>
              <w:t>管理费</w:t>
            </w:r>
          </w:p>
        </w:tc>
        <w:tc>
          <w:tcPr>
            <w:tcW w:w="1035" w:type="dxa"/>
            <w:vMerge w:val="continue"/>
            <w:vAlign w:val="center"/>
          </w:tcPr>
          <w:p>
            <w:pPr>
              <w:jc w:val="center"/>
              <w:rPr>
                <w:rFonts w:hint="eastAsia"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71" w:type="dxa"/>
            <w:vMerge w:val="continue"/>
            <w:shd w:val="clear" w:color="auto" w:fill="auto"/>
            <w:vAlign w:val="center"/>
          </w:tcPr>
          <w:p>
            <w:pPr>
              <w:jc w:val="center"/>
              <w:rPr>
                <w:b/>
                <w:sz w:val="24"/>
              </w:rPr>
            </w:pPr>
          </w:p>
        </w:tc>
        <w:tc>
          <w:tcPr>
            <w:tcW w:w="1380" w:type="dxa"/>
            <w:shd w:val="clear" w:color="auto" w:fill="auto"/>
            <w:vAlign w:val="center"/>
          </w:tcPr>
          <w:p>
            <w:pPr>
              <w:spacing w:line="280" w:lineRule="exact"/>
              <w:jc w:val="center"/>
              <w:rPr>
                <w:rFonts w:hint="eastAsia" w:ascii="宋体" w:hAnsi="宋体" w:cs="宋体"/>
                <w:b/>
                <w:sz w:val="24"/>
              </w:rPr>
            </w:pPr>
            <w:r>
              <w:rPr>
                <w:rFonts w:hint="eastAsia" w:ascii="宋体" w:hAnsi="宋体" w:cs="宋体"/>
                <w:b/>
                <w:sz w:val="24"/>
              </w:rPr>
              <w:t>资金</w:t>
            </w:r>
          </w:p>
          <w:p>
            <w:pPr>
              <w:spacing w:line="280" w:lineRule="exact"/>
              <w:jc w:val="center"/>
              <w:rPr>
                <w:rFonts w:hint="eastAsia" w:eastAsia="宋体"/>
                <w:b/>
                <w:sz w:val="24"/>
                <w:lang w:eastAsia="zh-CN"/>
              </w:rPr>
            </w:pPr>
            <w:r>
              <w:rPr>
                <w:rFonts w:hint="eastAsia" w:ascii="宋体" w:hAnsi="宋体" w:cs="宋体"/>
                <w:b/>
                <w:sz w:val="24"/>
                <w:lang w:eastAsia="zh-CN"/>
              </w:rPr>
              <w:t>用途</w:t>
            </w:r>
          </w:p>
        </w:tc>
        <w:tc>
          <w:tcPr>
            <w:tcW w:w="1080" w:type="dxa"/>
            <w:shd w:val="clear" w:color="auto" w:fill="auto"/>
            <w:vAlign w:val="center"/>
          </w:tcPr>
          <w:p>
            <w:pPr>
              <w:spacing w:line="280" w:lineRule="exact"/>
              <w:jc w:val="center"/>
              <w:rPr>
                <w:rFonts w:hint="eastAsia" w:ascii="宋体" w:hAnsi="宋体" w:cs="宋体"/>
                <w:b/>
                <w:sz w:val="24"/>
                <w:lang w:eastAsia="zh-CN"/>
              </w:rPr>
            </w:pPr>
            <w:r>
              <w:rPr>
                <w:rFonts w:hint="eastAsia" w:ascii="宋体" w:hAnsi="宋体" w:cs="宋体"/>
                <w:b/>
                <w:sz w:val="24"/>
                <w:lang w:eastAsia="zh-CN"/>
              </w:rPr>
              <w:t>金额</w:t>
            </w:r>
          </w:p>
          <w:p>
            <w:pPr>
              <w:spacing w:line="280" w:lineRule="exact"/>
              <w:jc w:val="center"/>
              <w:rPr>
                <w:rFonts w:hint="default"/>
                <w:lang w:val="en-US" w:eastAsia="zh-CN"/>
              </w:rPr>
            </w:pPr>
            <w:r>
              <w:rPr>
                <w:rFonts w:hint="eastAsia" w:ascii="宋体" w:hAnsi="宋体" w:cs="宋体"/>
                <w:b/>
                <w:sz w:val="24"/>
                <w:lang w:eastAsia="zh-CN"/>
              </w:rPr>
              <w:t>（万元</w:t>
            </w:r>
            <w:r>
              <w:rPr>
                <w:rFonts w:hint="eastAsia" w:ascii="宋体" w:hAnsi="宋体" w:cs="宋体"/>
                <w:b/>
                <w:sz w:val="24"/>
                <w:lang w:val="en-US" w:eastAsia="zh-CN"/>
              </w:rPr>
              <w:t>)</w:t>
            </w:r>
          </w:p>
        </w:tc>
        <w:tc>
          <w:tcPr>
            <w:tcW w:w="2805" w:type="dxa"/>
            <w:shd w:val="clear" w:color="auto" w:fill="auto"/>
            <w:vAlign w:val="center"/>
          </w:tcPr>
          <w:p>
            <w:pPr>
              <w:spacing w:line="280" w:lineRule="exact"/>
              <w:jc w:val="center"/>
              <w:rPr>
                <w:rFonts w:hint="eastAsia" w:ascii="宋体" w:hAnsi="宋体" w:cs="宋体"/>
                <w:b/>
                <w:sz w:val="24"/>
              </w:rPr>
            </w:pPr>
            <w:r>
              <w:rPr>
                <w:rFonts w:hint="eastAsia" w:ascii="宋体" w:hAnsi="宋体" w:cs="宋体"/>
                <w:b/>
                <w:sz w:val="24"/>
              </w:rPr>
              <w:t>资金</w:t>
            </w:r>
          </w:p>
          <w:p>
            <w:pPr>
              <w:spacing w:line="400" w:lineRule="exact"/>
              <w:jc w:val="center"/>
              <w:rPr>
                <w:rFonts w:hint="eastAsia" w:ascii="宋体" w:hAnsi="宋体" w:eastAsia="宋体" w:cs="宋体"/>
                <w:b/>
                <w:spacing w:val="-9"/>
                <w:sz w:val="24"/>
                <w:lang w:eastAsia="zh-CN"/>
              </w:rPr>
            </w:pPr>
            <w:r>
              <w:rPr>
                <w:rFonts w:hint="eastAsia" w:ascii="宋体" w:hAnsi="宋体" w:cs="宋体"/>
                <w:b/>
                <w:sz w:val="24"/>
                <w:lang w:eastAsia="zh-CN"/>
              </w:rPr>
              <w:t>用途</w:t>
            </w:r>
          </w:p>
        </w:tc>
        <w:tc>
          <w:tcPr>
            <w:tcW w:w="1050" w:type="dxa"/>
            <w:vAlign w:val="center"/>
          </w:tcPr>
          <w:p>
            <w:pPr>
              <w:spacing w:line="280" w:lineRule="exact"/>
              <w:jc w:val="center"/>
              <w:rPr>
                <w:rFonts w:hint="eastAsia" w:ascii="宋体" w:hAnsi="宋体" w:cs="宋体"/>
                <w:b/>
                <w:sz w:val="24"/>
                <w:lang w:eastAsia="zh-CN"/>
              </w:rPr>
            </w:pPr>
            <w:r>
              <w:rPr>
                <w:rFonts w:hint="eastAsia" w:ascii="宋体" w:hAnsi="宋体" w:cs="宋体"/>
                <w:b/>
                <w:sz w:val="24"/>
                <w:lang w:eastAsia="zh-CN"/>
              </w:rPr>
              <w:t>金额</w:t>
            </w:r>
          </w:p>
          <w:p>
            <w:pPr>
              <w:spacing w:line="400" w:lineRule="exact"/>
              <w:jc w:val="center"/>
              <w:rPr>
                <w:rFonts w:hint="eastAsia" w:ascii="宋体" w:hAnsi="宋体" w:cs="宋体"/>
                <w:b/>
                <w:sz w:val="24"/>
                <w:lang w:eastAsia="zh-CN"/>
              </w:rPr>
            </w:pPr>
            <w:r>
              <w:rPr>
                <w:rFonts w:hint="eastAsia" w:ascii="宋体" w:hAnsi="宋体" w:cs="宋体"/>
                <w:b/>
                <w:sz w:val="24"/>
                <w:lang w:eastAsia="zh-CN"/>
              </w:rPr>
              <w:t>（万元</w:t>
            </w:r>
            <w:r>
              <w:rPr>
                <w:rFonts w:hint="eastAsia" w:ascii="宋体" w:hAnsi="宋体" w:cs="宋体"/>
                <w:b/>
                <w:sz w:val="24"/>
                <w:lang w:val="en-US" w:eastAsia="zh-CN"/>
              </w:rPr>
              <w:t>)</w:t>
            </w:r>
          </w:p>
        </w:tc>
        <w:tc>
          <w:tcPr>
            <w:tcW w:w="1035" w:type="dxa"/>
            <w:vMerge w:val="continue"/>
            <w:vAlign w:val="center"/>
          </w:tcPr>
          <w:p>
            <w:pPr>
              <w:spacing w:line="400" w:lineRule="exact"/>
              <w:jc w:val="center"/>
              <w:rPr>
                <w:rFonts w:hint="eastAsia" w:ascii="宋体" w:hAnsi="宋体" w:cs="宋体"/>
                <w:b/>
                <w:spacing w:val="-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1071" w:type="dxa"/>
            <w:shd w:val="clear" w:color="auto" w:fill="auto"/>
            <w:vAlign w:val="center"/>
          </w:tcPr>
          <w:p>
            <w:pPr>
              <w:jc w:val="center"/>
              <w:rPr>
                <w:rFonts w:hint="eastAsia" w:ascii="仿宋_GB2312" w:hAnsi="仿宋_GB2312" w:eastAsia="仿宋_GB2312" w:cs="仿宋_GB2312"/>
                <w:spacing w:val="-9"/>
                <w:sz w:val="24"/>
              </w:rPr>
            </w:pPr>
            <w:r>
              <w:rPr>
                <w:rFonts w:hint="eastAsia" w:ascii="宋体" w:hAnsi="宋体" w:cs="宋体"/>
                <w:b/>
                <w:sz w:val="24"/>
                <w:lang w:eastAsia="zh-CN"/>
              </w:rPr>
              <w:t>青铜峡市</w:t>
            </w:r>
            <w:r>
              <w:rPr>
                <w:rFonts w:hint="eastAsia" w:ascii="宋体" w:hAnsi="宋体" w:cs="宋体"/>
                <w:b/>
                <w:sz w:val="24"/>
                <w:lang w:val="en-US" w:eastAsia="zh-CN"/>
              </w:rPr>
              <w:t>2025</w:t>
            </w:r>
            <w:r>
              <w:rPr>
                <w:rFonts w:hint="eastAsia" w:ascii="宋体" w:hAnsi="宋体" w:cs="宋体"/>
                <w:b/>
                <w:sz w:val="24"/>
                <w:lang w:eastAsia="zh-CN"/>
              </w:rPr>
              <w:t>年渔业资源保护项目</w:t>
            </w:r>
          </w:p>
        </w:tc>
        <w:tc>
          <w:tcPr>
            <w:tcW w:w="1380" w:type="dxa"/>
            <w:shd w:val="clear" w:color="auto" w:fill="auto"/>
            <w:vAlign w:val="center"/>
          </w:tcPr>
          <w:p>
            <w:pPr>
              <w:jc w:val="center"/>
              <w:rPr>
                <w:rFonts w:hint="default" w:ascii="宋体" w:hAnsi="宋体" w:eastAsia="宋体" w:cs="宋体"/>
                <w:sz w:val="24"/>
                <w:lang w:val="en-US" w:eastAsia="zh-CN"/>
              </w:rPr>
            </w:pPr>
            <w:r>
              <w:rPr>
                <w:rFonts w:hint="eastAsia" w:ascii="宋体" w:hAnsi="宋体" w:eastAsia="宋体" w:cs="宋体"/>
                <w:sz w:val="24"/>
                <w:lang w:eastAsia="zh-CN"/>
              </w:rPr>
              <w:t>购置鲢、鳙、赤眼鳟、兰州鲶苗种</w:t>
            </w:r>
            <w:r>
              <w:rPr>
                <w:rFonts w:hint="eastAsia" w:ascii="宋体" w:hAnsi="宋体" w:eastAsia="宋体" w:cs="宋体"/>
                <w:sz w:val="24"/>
                <w:lang w:val="en-US" w:eastAsia="zh-CN"/>
              </w:rPr>
              <w:t>80万尾</w:t>
            </w:r>
          </w:p>
        </w:tc>
        <w:tc>
          <w:tcPr>
            <w:tcW w:w="1080" w:type="dxa"/>
            <w:shd w:val="clear" w:color="auto" w:fill="auto"/>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31.5</w:t>
            </w:r>
          </w:p>
        </w:tc>
        <w:tc>
          <w:tcPr>
            <w:tcW w:w="2805" w:type="dxa"/>
            <w:shd w:val="clear" w:color="auto" w:fill="auto"/>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种质资源鉴定</w:t>
            </w:r>
          </w:p>
          <w:p>
            <w:pPr>
              <w:jc w:val="center"/>
              <w:rPr>
                <w:rFonts w:hint="eastAsia" w:ascii="宋体" w:hAnsi="宋体" w:eastAsia="宋体" w:cs="宋体"/>
                <w:sz w:val="24"/>
                <w:lang w:eastAsia="zh-CN"/>
              </w:rPr>
            </w:pPr>
            <w:r>
              <w:rPr>
                <w:rFonts w:hint="eastAsia" w:ascii="宋体" w:hAnsi="宋体" w:eastAsia="宋体" w:cs="宋体"/>
                <w:sz w:val="24"/>
                <w:lang w:eastAsia="zh-CN"/>
              </w:rPr>
              <w:t>开展放流现场会</w:t>
            </w:r>
          </w:p>
          <w:p>
            <w:pPr>
              <w:jc w:val="center"/>
              <w:rPr>
                <w:rFonts w:hint="eastAsia" w:ascii="宋体" w:hAnsi="宋体" w:eastAsia="宋体" w:cs="宋体"/>
                <w:sz w:val="24"/>
              </w:rPr>
            </w:pPr>
            <w:r>
              <w:rPr>
                <w:rFonts w:hint="eastAsia" w:ascii="宋体" w:hAnsi="宋体" w:eastAsia="宋体" w:cs="宋体"/>
                <w:sz w:val="24"/>
              </w:rPr>
              <w:t>放流公证</w:t>
            </w:r>
          </w:p>
          <w:p>
            <w:pPr>
              <w:jc w:val="center"/>
              <w:rPr>
                <w:rFonts w:hint="eastAsia" w:ascii="宋体" w:hAnsi="宋体" w:eastAsia="宋体" w:cs="宋体"/>
                <w:sz w:val="24"/>
                <w:lang w:val="en-US" w:eastAsia="zh-CN"/>
              </w:rPr>
            </w:pPr>
            <w:r>
              <w:rPr>
                <w:rFonts w:hint="eastAsia" w:ascii="宋体" w:hAnsi="宋体" w:eastAsia="宋体" w:cs="宋体"/>
                <w:sz w:val="24"/>
                <w:lang w:eastAsia="zh-CN"/>
              </w:rPr>
              <w:t>专家评审</w:t>
            </w:r>
          </w:p>
        </w:tc>
        <w:tc>
          <w:tcPr>
            <w:tcW w:w="1050"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3.5</w:t>
            </w:r>
          </w:p>
        </w:tc>
        <w:tc>
          <w:tcPr>
            <w:tcW w:w="1035" w:type="dxa"/>
            <w:vMerge w:val="restart"/>
            <w:vAlign w:val="center"/>
          </w:tcPr>
          <w:p>
            <w:pPr>
              <w:jc w:val="center"/>
              <w:rPr>
                <w:rFonts w:hint="eastAsia" w:ascii="宋体" w:hAnsi="宋体" w:eastAsia="宋体" w:cs="宋体"/>
                <w:sz w:val="24"/>
              </w:rPr>
            </w:pPr>
            <w:r>
              <w:rPr>
                <w:rFonts w:hint="eastAsia" w:ascii="宋体" w:hAnsi="宋体" w:eastAsia="宋体" w:cs="宋体"/>
                <w:sz w:val="24"/>
              </w:rPr>
              <w:t>放流苗种购置费不得低于</w:t>
            </w:r>
            <w:r>
              <w:rPr>
                <w:rFonts w:hint="eastAsia" w:ascii="宋体" w:hAnsi="宋体" w:eastAsia="宋体" w:cs="宋体"/>
                <w:sz w:val="24"/>
                <w:lang w:eastAsia="zh-CN"/>
              </w:rPr>
              <w:t>总金额的</w:t>
            </w:r>
            <w:r>
              <w:rPr>
                <w:rFonts w:hint="eastAsia" w:ascii="宋体" w:hAnsi="宋体" w:eastAsia="宋体" w:cs="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71" w:type="dxa"/>
            <w:shd w:val="clear" w:color="auto" w:fill="auto"/>
            <w:vAlign w:val="center"/>
          </w:tcPr>
          <w:p>
            <w:pPr>
              <w:jc w:val="center"/>
              <w:rPr>
                <w:rFonts w:hint="eastAsia" w:ascii="仿宋_GB2312" w:hAnsi="仿宋_GB2312" w:eastAsia="仿宋_GB2312" w:cs="仿宋_GB2312"/>
                <w:b/>
                <w:bCs/>
                <w:sz w:val="24"/>
              </w:rPr>
            </w:pPr>
            <w:r>
              <w:rPr>
                <w:rFonts w:hint="eastAsia" w:ascii="宋体" w:hAnsi="宋体" w:cs="宋体"/>
                <w:b/>
                <w:sz w:val="24"/>
              </w:rPr>
              <w:t>资金合计</w:t>
            </w:r>
          </w:p>
        </w:tc>
        <w:tc>
          <w:tcPr>
            <w:tcW w:w="6315" w:type="dxa"/>
            <w:gridSpan w:val="4"/>
            <w:shd w:val="clear" w:color="auto" w:fill="auto"/>
            <w:vAlign w:val="center"/>
          </w:tcPr>
          <w:p>
            <w:pPr>
              <w:spacing w:line="400" w:lineRule="exac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35</w:t>
            </w:r>
          </w:p>
        </w:tc>
        <w:tc>
          <w:tcPr>
            <w:tcW w:w="1035" w:type="dxa"/>
            <w:vMerge w:val="continue"/>
            <w:vAlign w:val="center"/>
          </w:tcPr>
          <w:p>
            <w:pPr>
              <w:jc w:val="center"/>
              <w:rPr>
                <w:rFonts w:hint="eastAsia" w:ascii="宋体" w:hAnsi="宋体" w:cs="宋体"/>
                <w:b/>
                <w:bCs/>
                <w:sz w:val="24"/>
              </w:rPr>
            </w:pPr>
          </w:p>
        </w:tc>
      </w:tr>
    </w:tbl>
    <w:p>
      <w:pPr>
        <w:spacing w:before="156" w:beforeLines="50"/>
        <w:jc w:val="both"/>
        <w:rPr>
          <w:rFonts w:hint="eastAsia" w:ascii="黑体" w:hAnsi="黑体" w:eastAsia="黑体" w:cs="黑体"/>
          <w:bCs/>
          <w:sz w:val="32"/>
          <w:szCs w:val="32"/>
          <w:lang w:val="en-US" w:eastAsia="zh-CN"/>
        </w:rPr>
      </w:pPr>
      <w:r>
        <w:rPr>
          <w:rFonts w:hint="eastAsia" w:ascii="仿宋_GB2312" w:hAnsi="宋体" w:eastAsia="仿宋_GB2312" w:cs="Times New Roman"/>
          <w:sz w:val="32"/>
          <w:szCs w:val="32"/>
          <w:lang w:val="en-US" w:eastAsia="zh-CN"/>
        </w:rPr>
        <w:br w:type="page"/>
      </w: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青铜峡市</w:t>
      </w:r>
      <w:r>
        <w:rPr>
          <w:rFonts w:hint="eastAsia" w:ascii="方正小标宋简体" w:hAnsi="方正小标宋简体" w:eastAsia="方正小标宋简体" w:cs="方正小标宋简体"/>
          <w:bCs/>
          <w:sz w:val="44"/>
          <w:szCs w:val="44"/>
          <w:lang w:val="en-US" w:eastAsia="zh-CN"/>
        </w:rPr>
        <w:t>2025</w:t>
      </w:r>
      <w:r>
        <w:rPr>
          <w:rFonts w:hint="eastAsia" w:ascii="方正小标宋简体" w:hAnsi="方正小标宋简体" w:eastAsia="方正小标宋简体" w:cs="方正小标宋简体"/>
          <w:bCs/>
          <w:sz w:val="44"/>
          <w:szCs w:val="44"/>
        </w:rPr>
        <w:t>年渔业</w:t>
      </w:r>
      <w:r>
        <w:rPr>
          <w:rFonts w:hint="eastAsia" w:ascii="方正小标宋简体" w:hAnsi="方正小标宋简体" w:eastAsia="方正小标宋简体" w:cs="方正小标宋简体"/>
          <w:bCs/>
          <w:sz w:val="44"/>
          <w:szCs w:val="44"/>
          <w:lang w:eastAsia="zh-CN"/>
        </w:rPr>
        <w:t>资源保护</w:t>
      </w:r>
      <w:r>
        <w:rPr>
          <w:rFonts w:hint="eastAsia" w:ascii="方正小标宋简体" w:hAnsi="方正小标宋简体" w:eastAsia="方正小标宋简体" w:cs="方正小标宋简体"/>
          <w:bCs/>
          <w:sz w:val="44"/>
          <w:szCs w:val="44"/>
        </w:rPr>
        <w:t>项目</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绩效考核实施方案</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rPr>
        <w:t>为进一步加强项目管理，规范项目考核内容、方法和程序，确保</w:t>
      </w:r>
      <w:r>
        <w:rPr>
          <w:rFonts w:hint="eastAsia" w:ascii="方正仿宋_GBK" w:hAnsi="方正仿宋_GBK" w:eastAsia="方正仿宋_GBK" w:cs="方正仿宋_GBK"/>
          <w:bCs/>
          <w:sz w:val="32"/>
          <w:szCs w:val="32"/>
          <w:lang w:eastAsia="zh-CN"/>
        </w:rPr>
        <w:t>青铜峡市</w:t>
      </w:r>
      <w:r>
        <w:rPr>
          <w:rFonts w:hint="eastAsia" w:ascii="方正仿宋_GBK" w:hAnsi="方正仿宋_GBK" w:eastAsia="方正仿宋_GBK" w:cs="方正仿宋_GBK"/>
          <w:bCs/>
          <w:sz w:val="32"/>
          <w:szCs w:val="32"/>
          <w:lang w:val="en-US" w:eastAsia="zh-CN"/>
        </w:rPr>
        <w:t>2025</w:t>
      </w:r>
      <w:r>
        <w:rPr>
          <w:rFonts w:hint="eastAsia" w:ascii="方正仿宋_GBK" w:hAnsi="方正仿宋_GBK" w:eastAsia="方正仿宋_GBK" w:cs="方正仿宋_GBK"/>
          <w:bCs/>
          <w:sz w:val="32"/>
          <w:szCs w:val="32"/>
        </w:rPr>
        <w:t>年</w:t>
      </w:r>
      <w:r>
        <w:rPr>
          <w:rFonts w:hint="eastAsia" w:ascii="仿宋_GB2312" w:eastAsia="仿宋_GB2312"/>
          <w:sz w:val="32"/>
          <w:szCs w:val="32"/>
          <w:lang w:eastAsia="zh-CN"/>
        </w:rPr>
        <w:t>渔业资源保护项目</w:t>
      </w:r>
      <w:r>
        <w:rPr>
          <w:rFonts w:hint="eastAsia" w:ascii="仿宋_GB2312" w:eastAsia="仿宋_GB2312"/>
          <w:sz w:val="32"/>
          <w:szCs w:val="32"/>
        </w:rPr>
        <w:t>落到实处</w:t>
      </w:r>
      <w:r>
        <w:rPr>
          <w:rFonts w:hint="eastAsia" w:ascii="仿宋" w:hAnsi="仿宋" w:eastAsia="仿宋" w:cs="仿宋"/>
          <w:sz w:val="32"/>
          <w:szCs w:val="32"/>
        </w:rPr>
        <w:t>，</w:t>
      </w:r>
      <w:r>
        <w:rPr>
          <w:rFonts w:hint="eastAsia" w:ascii="仿宋_GB2312" w:eastAsia="仿宋_GB2312"/>
          <w:sz w:val="32"/>
          <w:szCs w:val="32"/>
        </w:rPr>
        <w:t>制定以下绩效考核实施方案。</w:t>
      </w:r>
    </w:p>
    <w:p>
      <w:pPr>
        <w:keepNext w:val="0"/>
        <w:keepLines w:val="0"/>
        <w:pageBreakBefore w:val="0"/>
        <w:widowControl w:val="0"/>
        <w:kinsoku/>
        <w:wordWrap/>
        <w:overflowPunct/>
        <w:topLinePunct w:val="0"/>
        <w:autoSpaceDE/>
        <w:autoSpaceDN/>
        <w:bidi w:val="0"/>
        <w:snapToGrid/>
        <w:spacing w:line="240" w:lineRule="auto"/>
        <w:ind w:firstLine="627" w:firstLineChars="196"/>
        <w:textAlignment w:val="auto"/>
        <w:rPr>
          <w:rFonts w:eastAsia="黑体"/>
          <w:sz w:val="32"/>
          <w:szCs w:val="32"/>
        </w:rPr>
      </w:pPr>
      <w:r>
        <w:rPr>
          <w:rFonts w:hint="eastAsia" w:eastAsia="黑体"/>
          <w:sz w:val="32"/>
          <w:szCs w:val="32"/>
        </w:rPr>
        <w:t>一、总体思路和原则</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eastAsia="仿宋_GB2312"/>
          <w:sz w:val="32"/>
          <w:szCs w:val="32"/>
        </w:rPr>
      </w:pPr>
      <w:r>
        <w:rPr>
          <w:rFonts w:hint="eastAsia" w:eastAsia="仿宋_GB2312"/>
          <w:sz w:val="32"/>
          <w:szCs w:val="32"/>
        </w:rPr>
        <w:t>认真贯彻落实中央关于加快政府职能转变，推进政府绩效管理的决策部署，坚持科学规范、客观公正、简便易行原则，实施</w:t>
      </w:r>
      <w:r>
        <w:rPr>
          <w:rFonts w:hint="eastAsia" w:ascii="仿宋_GB2312" w:eastAsia="仿宋_GB2312"/>
          <w:sz w:val="32"/>
          <w:szCs w:val="32"/>
          <w:lang w:eastAsia="zh-CN"/>
        </w:rPr>
        <w:t>渔业资源保护项目</w:t>
      </w:r>
      <w:r>
        <w:rPr>
          <w:rFonts w:hint="eastAsia" w:eastAsia="仿宋_GB2312"/>
          <w:sz w:val="32"/>
          <w:szCs w:val="32"/>
        </w:rPr>
        <w:t>延伸绩效管理，建立以结果为导向的评价体系，提高</w:t>
      </w:r>
      <w:r>
        <w:rPr>
          <w:rFonts w:hint="eastAsia" w:ascii="仿宋_GB2312" w:eastAsia="仿宋_GB2312"/>
          <w:sz w:val="32"/>
          <w:szCs w:val="32"/>
        </w:rPr>
        <w:t>项目</w:t>
      </w:r>
      <w:r>
        <w:rPr>
          <w:rFonts w:hint="eastAsia" w:eastAsia="仿宋_GB2312"/>
          <w:sz w:val="32"/>
          <w:szCs w:val="32"/>
        </w:rPr>
        <w:t>绩效，促进渔业绿色高质量发展。</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eastAsia="黑体"/>
          <w:sz w:val="32"/>
          <w:szCs w:val="32"/>
        </w:rPr>
      </w:pPr>
      <w:r>
        <w:rPr>
          <w:rFonts w:hint="eastAsia" w:eastAsia="黑体"/>
          <w:sz w:val="32"/>
          <w:szCs w:val="32"/>
        </w:rPr>
        <w:t>二、实施范围</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青铜峡</w:t>
      </w:r>
      <w:r>
        <w:rPr>
          <w:rFonts w:hint="eastAsia" w:ascii="仿宋_GB2312" w:hAnsi="仿宋" w:eastAsia="仿宋_GB2312" w:cs="仿宋"/>
          <w:sz w:val="32"/>
          <w:szCs w:val="32"/>
        </w:rPr>
        <w:t>市农业农村局</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黑体" w:hAnsi="黑体" w:eastAsia="黑体" w:cs="黑体"/>
          <w:sz w:val="32"/>
          <w:szCs w:val="32"/>
        </w:rPr>
      </w:pPr>
      <w:r>
        <w:rPr>
          <w:rFonts w:hint="eastAsia" w:ascii="黑体" w:hAnsi="黑体" w:eastAsia="黑体" w:cs="黑体"/>
          <w:sz w:val="32"/>
          <w:szCs w:val="32"/>
        </w:rPr>
        <w:t>三、绩效评价组织及考核内容</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（一）组织形式</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lang w:eastAsia="zh-CN"/>
        </w:rPr>
        <w:t>青铜峡市</w:t>
      </w:r>
      <w:r>
        <w:rPr>
          <w:rFonts w:hint="eastAsia" w:ascii="仿宋_GB2312" w:eastAsia="仿宋_GB2312"/>
          <w:sz w:val="32"/>
          <w:szCs w:val="32"/>
        </w:rPr>
        <w:t>农业农村</w:t>
      </w:r>
      <w:r>
        <w:rPr>
          <w:rFonts w:hint="eastAsia" w:ascii="仿宋_GB2312" w:eastAsia="仿宋_GB2312"/>
          <w:sz w:val="32"/>
          <w:szCs w:val="32"/>
          <w:lang w:eastAsia="zh-CN"/>
        </w:rPr>
        <w:t>局</w:t>
      </w:r>
      <w:r>
        <w:rPr>
          <w:rFonts w:hint="eastAsia" w:ascii="仿宋_GB2312" w:eastAsia="仿宋_GB2312"/>
          <w:sz w:val="32"/>
          <w:szCs w:val="32"/>
        </w:rPr>
        <w:t>成立</w:t>
      </w:r>
      <w:r>
        <w:rPr>
          <w:rFonts w:hint="eastAsia" w:ascii="仿宋_GB2312" w:eastAsia="仿宋_GB2312"/>
          <w:sz w:val="32"/>
          <w:szCs w:val="32"/>
          <w:lang w:eastAsia="zh-CN"/>
        </w:rPr>
        <w:t>青铜峡市</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年渔业</w:t>
      </w:r>
      <w:r>
        <w:rPr>
          <w:rFonts w:hint="eastAsia" w:ascii="仿宋_GB2312" w:eastAsia="仿宋_GB2312"/>
          <w:sz w:val="32"/>
          <w:szCs w:val="32"/>
          <w:lang w:eastAsia="zh-CN"/>
        </w:rPr>
        <w:t>资源保护项目</w:t>
      </w:r>
      <w:r>
        <w:rPr>
          <w:rFonts w:hint="eastAsia" w:ascii="仿宋_GB2312" w:eastAsia="仿宋_GB2312"/>
          <w:sz w:val="32"/>
          <w:szCs w:val="32"/>
        </w:rPr>
        <w:t>绩效考核工作检查督导组（以下简称“绩效考核工作组”），组长由分管</w:t>
      </w:r>
      <w:r>
        <w:rPr>
          <w:rFonts w:hint="eastAsia" w:ascii="仿宋_GB2312" w:eastAsia="仿宋_GB2312"/>
          <w:sz w:val="32"/>
          <w:szCs w:val="32"/>
          <w:lang w:eastAsia="zh-CN"/>
        </w:rPr>
        <w:t>局</w:t>
      </w:r>
      <w:r>
        <w:rPr>
          <w:rFonts w:hint="eastAsia" w:ascii="仿宋_GB2312" w:eastAsia="仿宋_GB2312"/>
          <w:sz w:val="32"/>
          <w:szCs w:val="32"/>
        </w:rPr>
        <w:t>领导担任，成员包括</w:t>
      </w:r>
      <w:r>
        <w:rPr>
          <w:rFonts w:hint="eastAsia" w:ascii="仿宋_GB2312" w:eastAsia="仿宋_GB2312"/>
          <w:sz w:val="32"/>
          <w:szCs w:val="32"/>
          <w:lang w:eastAsia="zh-CN"/>
        </w:rPr>
        <w:t>青铜峡市</w:t>
      </w:r>
      <w:r>
        <w:rPr>
          <w:rFonts w:hint="eastAsia" w:ascii="仿宋_GB2312" w:eastAsia="仿宋_GB2312"/>
          <w:sz w:val="32"/>
          <w:szCs w:val="32"/>
        </w:rPr>
        <w:t>农业农村</w:t>
      </w:r>
      <w:r>
        <w:rPr>
          <w:rFonts w:hint="eastAsia" w:ascii="仿宋_GB2312" w:eastAsia="仿宋_GB2312"/>
          <w:sz w:val="32"/>
          <w:szCs w:val="32"/>
          <w:lang w:eastAsia="zh-CN"/>
        </w:rPr>
        <w:t>局办公室、畜牧</w:t>
      </w:r>
      <w:r>
        <w:rPr>
          <w:rFonts w:hint="eastAsia" w:ascii="仿宋_GB2312" w:eastAsia="仿宋_GB2312"/>
          <w:sz w:val="32"/>
          <w:szCs w:val="32"/>
        </w:rPr>
        <w:t>水产技术推广</w:t>
      </w:r>
      <w:r>
        <w:rPr>
          <w:rFonts w:hint="eastAsia" w:ascii="仿宋_GB2312" w:eastAsia="仿宋_GB2312"/>
          <w:sz w:val="32"/>
          <w:szCs w:val="32"/>
          <w:lang w:eastAsia="zh-CN"/>
        </w:rPr>
        <w:t>服务中心</w:t>
      </w:r>
      <w:r>
        <w:rPr>
          <w:rFonts w:hint="eastAsia" w:ascii="仿宋_GB2312" w:eastAsia="仿宋_GB2312"/>
          <w:sz w:val="32"/>
          <w:szCs w:val="32"/>
        </w:rPr>
        <w:t>相关人员</w:t>
      </w:r>
      <w:r>
        <w:rPr>
          <w:rFonts w:hint="eastAsia" w:ascii="仿宋_GB2312" w:eastAsia="仿宋_GB2312"/>
          <w:sz w:val="32"/>
          <w:szCs w:val="32"/>
          <w:lang w:eastAsia="zh-CN"/>
        </w:rPr>
        <w:t>，</w:t>
      </w:r>
      <w:r>
        <w:rPr>
          <w:rFonts w:hint="eastAsia" w:ascii="仿宋_GB2312" w:eastAsia="仿宋_GB2312"/>
          <w:sz w:val="32"/>
          <w:szCs w:val="32"/>
        </w:rPr>
        <w:t>负责对项目进行全程监管，对资金使用各个环节进行评估考核，推进增殖放流科学化、规范化、专业化发展。</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（二）考核内容</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lang w:eastAsia="zh-CN"/>
        </w:rPr>
        <w:t>青铜峡市</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年渔业</w:t>
      </w:r>
      <w:r>
        <w:rPr>
          <w:rFonts w:hint="eastAsia" w:ascii="仿宋_GB2312" w:eastAsia="仿宋_GB2312"/>
          <w:sz w:val="32"/>
          <w:szCs w:val="32"/>
          <w:lang w:eastAsia="zh-CN"/>
        </w:rPr>
        <w:t>资源保护</w:t>
      </w:r>
      <w:r>
        <w:rPr>
          <w:rFonts w:hint="eastAsia" w:ascii="仿宋_GB2312" w:eastAsia="仿宋_GB2312"/>
          <w:sz w:val="32"/>
          <w:szCs w:val="32"/>
        </w:rPr>
        <w:t>项目绩效评价考核主要内容包括：项目实施制度建立情况、增殖放流规范管理情况及绩效指标完成情况，详见附表（《</w:t>
      </w:r>
      <w:r>
        <w:rPr>
          <w:rFonts w:hint="eastAsia" w:ascii="仿宋_GB2312" w:eastAsia="仿宋_GB2312"/>
          <w:sz w:val="32"/>
          <w:szCs w:val="32"/>
          <w:lang w:eastAsia="zh-CN"/>
        </w:rPr>
        <w:t>青铜峡市</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年渔业</w:t>
      </w:r>
      <w:r>
        <w:rPr>
          <w:rFonts w:hint="eastAsia" w:ascii="仿宋_GB2312" w:eastAsia="仿宋_GB2312"/>
          <w:sz w:val="32"/>
          <w:szCs w:val="32"/>
          <w:lang w:eastAsia="zh-CN"/>
        </w:rPr>
        <w:t>资源保护</w:t>
      </w:r>
      <w:r>
        <w:rPr>
          <w:rFonts w:hint="eastAsia" w:ascii="仿宋_GB2312" w:eastAsia="仿宋_GB2312"/>
          <w:sz w:val="32"/>
          <w:szCs w:val="32"/>
        </w:rPr>
        <w:t>项目</w:t>
      </w:r>
      <w:r>
        <w:rPr>
          <w:rFonts w:hint="eastAsia" w:ascii="仿宋_GB2312" w:hAnsi="宋体" w:eastAsia="仿宋_GB2312"/>
          <w:sz w:val="32"/>
          <w:szCs w:val="32"/>
        </w:rPr>
        <w:t>绩效考核指标体系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黑体" w:hAnsi="黑体" w:eastAsia="黑体" w:cs="黑体"/>
          <w:sz w:val="32"/>
          <w:szCs w:val="32"/>
        </w:rPr>
      </w:pPr>
      <w:r>
        <w:rPr>
          <w:rFonts w:hint="eastAsia" w:ascii="楷体" w:hAnsi="楷体" w:eastAsia="楷体" w:cs="楷体"/>
          <w:b/>
          <w:bCs/>
          <w:sz w:val="32"/>
          <w:szCs w:val="32"/>
        </w:rPr>
        <w:t>（三）绩效指标</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1.数量指标</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年，共向黄河</w:t>
      </w:r>
      <w:r>
        <w:rPr>
          <w:rFonts w:hint="eastAsia" w:ascii="仿宋_GB2312" w:hAnsi="仿宋" w:eastAsia="仿宋_GB2312"/>
          <w:sz w:val="32"/>
          <w:szCs w:val="32"/>
          <w:lang w:eastAsia="zh-CN"/>
        </w:rPr>
        <w:t>青铜峡段青石段国家级水产种质资源保护区</w:t>
      </w:r>
      <w:r>
        <w:rPr>
          <w:rFonts w:hint="eastAsia" w:ascii="仿宋_GB2312" w:hAnsi="仿宋" w:eastAsia="仿宋_GB2312"/>
          <w:sz w:val="32"/>
          <w:szCs w:val="32"/>
        </w:rPr>
        <w:t>放流各类经济鱼类不低于</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万尾</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楷体"/>
          <w:b/>
          <w:bCs/>
          <w:sz w:val="32"/>
          <w:szCs w:val="32"/>
        </w:rPr>
      </w:pPr>
      <w:r>
        <w:rPr>
          <w:rFonts w:hint="eastAsia" w:ascii="仿宋_GB2312" w:hAnsi="仿宋" w:eastAsia="仿宋_GB2312" w:cs="仿宋"/>
          <w:b/>
          <w:bCs/>
          <w:sz w:val="32"/>
          <w:szCs w:val="32"/>
        </w:rPr>
        <w:t>2.质量指标</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（1）供苗单位资质。</w:t>
      </w:r>
      <w:r>
        <w:rPr>
          <w:rFonts w:hint="eastAsia" w:ascii="方正仿宋_GBK" w:hAnsi="方正仿宋_GBK" w:eastAsia="方正仿宋_GBK" w:cs="方正仿宋_GBK"/>
          <w:b w:val="0"/>
          <w:bCs/>
          <w:sz w:val="32"/>
          <w:szCs w:val="32"/>
          <w:lang w:eastAsia="zh-CN"/>
        </w:rPr>
        <w:t>要在农业农村部“水生生物增殖放流苗种供应单位信息系统（智能渔技）”（以下简称“系统”）查询可供选择的水生生物增殖放流苗种供应单位，</w:t>
      </w:r>
      <w:r>
        <w:rPr>
          <w:rFonts w:hint="eastAsia" w:ascii="仿宋_GB2312" w:hAnsi="仿宋" w:eastAsia="仿宋_GB2312" w:cs="仿宋"/>
          <w:sz w:val="32"/>
          <w:szCs w:val="32"/>
        </w:rPr>
        <w:t>具有自治区级以上水产苗种生产许可证，无《农业部办公厅关于实施水生生物增殖放流违法违规供苗单位通报制度的通知》（农办渔〔2018〕36号）所列各种违法违规情形。</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）放流苗种健康状况。用于增殖放流的苗种必须是本地培育的鱼种，健康、优质、无病害、无药残。</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仿宋"/>
          <w:b/>
          <w:sz w:val="32"/>
          <w:szCs w:val="32"/>
        </w:rPr>
      </w:pPr>
      <w:r>
        <w:rPr>
          <w:rFonts w:hint="eastAsia" w:ascii="仿宋_GB2312" w:hAnsi="仿宋" w:eastAsia="仿宋_GB2312" w:cs="仿宋"/>
          <w:b/>
          <w:sz w:val="32"/>
          <w:szCs w:val="32"/>
        </w:rPr>
        <w:t>3.时效指标</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bCs/>
          <w:sz w:val="32"/>
          <w:szCs w:val="32"/>
        </w:rPr>
      </w:pPr>
      <w:r>
        <w:rPr>
          <w:rFonts w:hint="eastAsia" w:ascii="仿宋_GB2312" w:hAnsi="仿宋" w:eastAsia="仿宋_GB2312" w:cs="仿宋"/>
          <w:sz w:val="32"/>
          <w:szCs w:val="32"/>
        </w:rPr>
        <w:t>（1）放流完成时间。</w:t>
      </w:r>
      <w:r>
        <w:rPr>
          <w:rFonts w:hint="eastAsia" w:ascii="仿宋_GB2312" w:hAnsi="仿宋" w:eastAsia="仿宋_GB2312" w:cs="仿宋"/>
          <w:sz w:val="32"/>
          <w:szCs w:val="32"/>
          <w:lang w:val="en-US" w:eastAsia="zh-CN"/>
        </w:rPr>
        <w:t>2025年</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月底前完成渔业增殖放流任务。</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bCs/>
          <w:sz w:val="32"/>
          <w:szCs w:val="32"/>
        </w:rPr>
      </w:pPr>
      <w:r>
        <w:rPr>
          <w:rFonts w:hint="eastAsia" w:ascii="仿宋_GB2312" w:hAnsi="仿宋" w:eastAsia="仿宋_GB2312" w:cs="仿宋"/>
          <w:sz w:val="32"/>
          <w:szCs w:val="32"/>
        </w:rPr>
        <w:t>（2）资金支出情况。</w:t>
      </w:r>
      <w:r>
        <w:rPr>
          <w:rFonts w:hint="eastAsia" w:ascii="仿宋_GB2312" w:hAnsi="仿宋" w:eastAsia="仿宋_GB2312" w:cs="仿宋"/>
          <w:sz w:val="32"/>
          <w:szCs w:val="32"/>
          <w:lang w:val="en-US" w:eastAsia="zh-CN"/>
        </w:rPr>
        <w:t>2025年11月底前</w:t>
      </w:r>
      <w:r>
        <w:rPr>
          <w:rFonts w:hint="eastAsia" w:ascii="仿宋_GB2312" w:hAnsi="仿宋" w:eastAsia="仿宋_GB2312" w:cs="仿宋"/>
          <w:sz w:val="32"/>
          <w:szCs w:val="32"/>
        </w:rPr>
        <w:t>资金支出率达到100%</w:t>
      </w:r>
      <w:r>
        <w:rPr>
          <w:rFonts w:hint="eastAsia" w:ascii="仿宋_GB2312" w:hAnsi="仿宋" w:eastAsia="仿宋_GB2312"/>
          <w:bCs/>
          <w:sz w:val="32"/>
          <w:szCs w:val="32"/>
        </w:rPr>
        <w:t>。</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4.生态效益指标</w:t>
      </w:r>
    </w:p>
    <w:p>
      <w:pPr>
        <w:keepNext w:val="0"/>
        <w:keepLines w:val="0"/>
        <w:pageBreakBefore w:val="0"/>
        <w:widowControl w:val="0"/>
        <w:kinsoku/>
        <w:wordWrap/>
        <w:overflowPunct/>
        <w:topLinePunct w:val="0"/>
        <w:autoSpaceDE/>
        <w:autoSpaceDN/>
        <w:bidi w:val="0"/>
        <w:snapToGrid/>
        <w:spacing w:line="240" w:lineRule="auto"/>
        <w:ind w:firstLine="600" w:firstLineChars="200"/>
        <w:textAlignment w:val="auto"/>
        <w:rPr>
          <w:rFonts w:hint="eastAsia" w:ascii="仿宋_GB2312" w:hAnsi="仿宋" w:eastAsia="仿宋_GB2312"/>
          <w:spacing w:val="-10"/>
          <w:sz w:val="32"/>
          <w:szCs w:val="32"/>
        </w:rPr>
      </w:pPr>
      <w:r>
        <w:rPr>
          <w:rFonts w:hint="eastAsia" w:ascii="仿宋_GB2312" w:hAnsi="仿宋" w:eastAsia="仿宋_GB2312"/>
          <w:spacing w:val="-10"/>
          <w:sz w:val="32"/>
          <w:szCs w:val="32"/>
        </w:rPr>
        <w:t>鱼类资源进一步恢复，重要经济物种放流资源贡献率≥2%。</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5.满意度指标</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开展鱼类增殖放流效果评估，增殖放流区域内抽样调查满意度≥80%。</w:t>
      </w:r>
    </w:p>
    <w:p>
      <w:pPr>
        <w:keepNext w:val="0"/>
        <w:keepLines w:val="0"/>
        <w:pageBreakBefore w:val="0"/>
        <w:widowControl w:val="0"/>
        <w:kinsoku/>
        <w:wordWrap/>
        <w:overflowPunct/>
        <w:topLinePunct w:val="0"/>
        <w:autoSpaceDE/>
        <w:autoSpaceDN/>
        <w:bidi w:val="0"/>
        <w:snapToGrid/>
        <w:spacing w:line="240" w:lineRule="auto"/>
        <w:ind w:firstLine="642"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6.资金使用中不得出现重大违规违纪问题。</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黑体" w:hAnsi="黑体" w:eastAsia="黑体" w:cs="黑体"/>
          <w:sz w:val="32"/>
          <w:szCs w:val="32"/>
        </w:rPr>
      </w:pPr>
      <w:r>
        <w:rPr>
          <w:rFonts w:hint="eastAsia" w:ascii="黑体" w:hAnsi="黑体" w:eastAsia="黑体" w:cs="黑体"/>
          <w:sz w:val="32"/>
          <w:szCs w:val="32"/>
        </w:rPr>
        <w:t>四、考核方法及进度</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lang w:eastAsia="zh-CN"/>
        </w:rPr>
        <w:t>青铜峡市</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年渔业</w:t>
      </w:r>
      <w:r>
        <w:rPr>
          <w:rFonts w:hint="eastAsia" w:ascii="仿宋_GB2312" w:eastAsia="仿宋_GB2312"/>
          <w:sz w:val="32"/>
          <w:szCs w:val="32"/>
          <w:lang w:eastAsia="zh-CN"/>
        </w:rPr>
        <w:t>资源保护项目</w:t>
      </w:r>
      <w:r>
        <w:rPr>
          <w:rFonts w:hint="eastAsia" w:ascii="仿宋_GB2312" w:eastAsia="仿宋_GB2312"/>
          <w:sz w:val="32"/>
          <w:szCs w:val="32"/>
        </w:rPr>
        <w:t>绩效考核工作以</w:t>
      </w:r>
      <w:r>
        <w:rPr>
          <w:rFonts w:hint="eastAsia" w:ascii="仿宋_GB2312" w:eastAsia="仿宋_GB2312"/>
          <w:sz w:val="32"/>
          <w:szCs w:val="32"/>
          <w:lang w:eastAsia="zh-CN"/>
        </w:rPr>
        <w:t>青铜峡市畜牧水产技术推广服务中心</w:t>
      </w:r>
      <w:r>
        <w:rPr>
          <w:rFonts w:hint="eastAsia" w:ascii="仿宋_GB2312" w:eastAsia="仿宋_GB2312"/>
          <w:sz w:val="32"/>
          <w:szCs w:val="32"/>
        </w:rPr>
        <w:t>自评为主，自治区农业农村厅组织检查和复核，综合各项指标完成情况得出考核结果，形成综合评价报告。具体工作分为三个阶段：</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（一）自我评估</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年11月2</w:t>
      </w:r>
      <w:r>
        <w:rPr>
          <w:rFonts w:hint="eastAsia" w:ascii="仿宋_GB2312" w:eastAsia="仿宋_GB2312"/>
          <w:sz w:val="32"/>
          <w:szCs w:val="32"/>
          <w:lang w:val="en-US" w:eastAsia="zh-CN"/>
        </w:rPr>
        <w:t>0</w:t>
      </w:r>
      <w:r>
        <w:rPr>
          <w:rFonts w:hint="eastAsia" w:ascii="仿宋_GB2312" w:eastAsia="仿宋_GB2312"/>
          <w:sz w:val="32"/>
          <w:szCs w:val="32"/>
        </w:rPr>
        <w:t>日前，对照绩效评价内容和具体指标，由</w:t>
      </w:r>
      <w:r>
        <w:rPr>
          <w:rFonts w:hint="eastAsia" w:ascii="仿宋_GB2312" w:eastAsia="仿宋_GB2312"/>
          <w:sz w:val="32"/>
          <w:szCs w:val="32"/>
          <w:lang w:eastAsia="zh-CN"/>
        </w:rPr>
        <w:t>青铜峡市畜牧水产技术推广服务中心</w:t>
      </w:r>
      <w:r>
        <w:rPr>
          <w:rFonts w:hint="eastAsia" w:ascii="仿宋_GB2312" w:eastAsia="仿宋_GB2312"/>
          <w:sz w:val="32"/>
          <w:szCs w:val="32"/>
        </w:rPr>
        <w:t>开展自评工作，对每一项指标进行定量打分，形成自评报告，由自治区农业农村厅渔业渔政管理局初审。</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（二）检查核实</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年12月</w:t>
      </w:r>
      <w:r>
        <w:rPr>
          <w:rFonts w:hint="eastAsia" w:ascii="仿宋_GB2312" w:eastAsia="仿宋_GB2312"/>
          <w:sz w:val="32"/>
          <w:szCs w:val="32"/>
          <w:lang w:val="en-US" w:eastAsia="zh-CN"/>
        </w:rPr>
        <w:t>5</w:t>
      </w:r>
      <w:r>
        <w:rPr>
          <w:rFonts w:hint="eastAsia" w:ascii="仿宋_GB2312" w:eastAsia="仿宋_GB2312"/>
          <w:sz w:val="32"/>
          <w:szCs w:val="32"/>
        </w:rPr>
        <w:t>日前，</w:t>
      </w:r>
      <w:r>
        <w:rPr>
          <w:rFonts w:hint="eastAsia" w:ascii="仿宋_GB2312" w:eastAsia="仿宋_GB2312"/>
          <w:sz w:val="32"/>
          <w:szCs w:val="32"/>
          <w:lang w:eastAsia="zh-CN"/>
        </w:rPr>
        <w:t>由自治区</w:t>
      </w:r>
      <w:r>
        <w:rPr>
          <w:rFonts w:hint="eastAsia" w:ascii="仿宋_GB2312" w:eastAsia="仿宋_GB2312"/>
          <w:sz w:val="32"/>
          <w:szCs w:val="32"/>
        </w:rPr>
        <w:t>绩效考核工作组采取审查资料与实地抽查相结合的方式，对自评报告和自评得分进行查验核实。一是资料审查。对绩效自评报告、证明材料进行核实，并对自评分数进行审核，必要时要求补充相关材料。二是实地考核。组成考核组对政策落实情况进行实地抽查，对自评分数进行复核修正。</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楷体" w:hAnsi="楷体" w:eastAsia="楷体" w:cs="楷体"/>
          <w:b/>
          <w:bCs/>
          <w:sz w:val="32"/>
          <w:szCs w:val="32"/>
        </w:rPr>
      </w:pPr>
      <w:r>
        <w:rPr>
          <w:rFonts w:hint="eastAsia" w:ascii="楷体" w:hAnsi="楷体" w:eastAsia="楷体" w:cs="楷体"/>
          <w:b/>
          <w:bCs/>
          <w:sz w:val="32"/>
          <w:szCs w:val="32"/>
        </w:rPr>
        <w:t>（三）综合评价</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年12月10日前，</w:t>
      </w:r>
      <w:r>
        <w:rPr>
          <w:rFonts w:hint="eastAsia" w:ascii="仿宋_GB2312" w:eastAsia="仿宋_GB2312"/>
          <w:sz w:val="32"/>
          <w:szCs w:val="32"/>
          <w:lang w:eastAsia="zh-CN"/>
        </w:rPr>
        <w:t>由</w:t>
      </w:r>
      <w:r>
        <w:rPr>
          <w:rFonts w:hint="eastAsia" w:ascii="仿宋_GB2312" w:eastAsia="仿宋_GB2312"/>
          <w:sz w:val="32"/>
          <w:szCs w:val="32"/>
        </w:rPr>
        <w:t>绩效考核工作组起草《202</w:t>
      </w:r>
      <w:r>
        <w:rPr>
          <w:rFonts w:hint="eastAsia" w:ascii="仿宋_GB2312" w:eastAsia="仿宋_GB2312"/>
          <w:sz w:val="32"/>
          <w:szCs w:val="32"/>
          <w:lang w:val="en-US" w:eastAsia="zh-CN"/>
        </w:rPr>
        <w:t>5</w:t>
      </w:r>
      <w:r>
        <w:rPr>
          <w:rFonts w:hint="eastAsia" w:ascii="仿宋_GB2312" w:eastAsia="仿宋_GB2312"/>
          <w:sz w:val="32"/>
          <w:szCs w:val="32"/>
        </w:rPr>
        <w:t>年渔业</w:t>
      </w:r>
      <w:r>
        <w:rPr>
          <w:rFonts w:hint="eastAsia" w:ascii="仿宋_GB2312" w:eastAsia="仿宋_GB2312"/>
          <w:sz w:val="32"/>
          <w:szCs w:val="32"/>
          <w:lang w:eastAsia="zh-CN"/>
        </w:rPr>
        <w:t>资源保护</w:t>
      </w:r>
      <w:r>
        <w:rPr>
          <w:rFonts w:hint="eastAsia" w:ascii="仿宋_GB2312" w:eastAsia="仿宋_GB2312"/>
          <w:sz w:val="32"/>
          <w:szCs w:val="32"/>
        </w:rPr>
        <w:t>项目绩效评估报告》，客观评价绩效目标实现情况，总结绩效管理成效和经验，分析存在的问题，提出改进措施。</w:t>
      </w:r>
    </w:p>
    <w:p>
      <w:pPr>
        <w:keepNext w:val="0"/>
        <w:keepLines w:val="0"/>
        <w:pageBreakBefore w:val="0"/>
        <w:widowControl w:val="0"/>
        <w:kinsoku/>
        <w:wordWrap/>
        <w:overflowPunct/>
        <w:topLinePunct w:val="0"/>
        <w:autoSpaceDE/>
        <w:autoSpaceDN/>
        <w:bidi w:val="0"/>
        <w:snapToGrid/>
        <w:spacing w:line="240" w:lineRule="auto"/>
        <w:ind w:firstLine="645"/>
        <w:textAlignment w:val="auto"/>
        <w:rPr>
          <w:rFonts w:hint="eastAsia" w:ascii="黑体" w:hAnsi="黑体" w:eastAsia="黑体" w:cs="黑体"/>
          <w:sz w:val="32"/>
          <w:szCs w:val="32"/>
        </w:rPr>
      </w:pPr>
      <w:r>
        <w:rPr>
          <w:rFonts w:hint="eastAsia" w:ascii="黑体" w:hAnsi="黑体" w:eastAsia="黑体" w:cs="黑体"/>
          <w:sz w:val="32"/>
          <w:szCs w:val="32"/>
        </w:rPr>
        <w:t>五、强化资金重点环节监管</w:t>
      </w:r>
    </w:p>
    <w:p>
      <w:pPr>
        <w:keepNext w:val="0"/>
        <w:keepLines w:val="0"/>
        <w:pageBreakBefore w:val="0"/>
        <w:widowControl w:val="0"/>
        <w:kinsoku/>
        <w:wordWrap/>
        <w:overflowPunct/>
        <w:topLinePunct w:val="0"/>
        <w:autoSpaceDE/>
        <w:autoSpaceDN/>
        <w:bidi w:val="0"/>
        <w:snapToGrid/>
        <w:spacing w:line="240" w:lineRule="auto"/>
        <w:ind w:firstLine="642" w:firstLineChars="200"/>
        <w:textAlignment w:val="auto"/>
        <w:rPr>
          <w:rFonts w:hint="eastAsia" w:ascii="仿宋_GB2312" w:hAnsi="宋体" w:eastAsia="仿宋_GB2312"/>
          <w:bCs/>
          <w:sz w:val="32"/>
          <w:szCs w:val="32"/>
        </w:rPr>
      </w:pPr>
      <w:r>
        <w:rPr>
          <w:rFonts w:hint="eastAsia" w:ascii="楷体" w:hAnsi="楷体" w:eastAsia="楷体" w:cs="楷体"/>
          <w:b/>
          <w:bCs/>
          <w:sz w:val="32"/>
          <w:szCs w:val="32"/>
        </w:rPr>
        <w:t>（一）合理安排资金用途。</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渔业资源保护</w:t>
      </w:r>
      <w:r>
        <w:rPr>
          <w:rFonts w:hint="eastAsia" w:ascii="仿宋_GB2312" w:eastAsia="仿宋_GB2312"/>
          <w:sz w:val="32"/>
          <w:szCs w:val="32"/>
        </w:rPr>
        <w:t>项目资金主要用于放流苗种购置及放流区域执法监管</w:t>
      </w:r>
      <w:r>
        <w:rPr>
          <w:rFonts w:hint="eastAsia" w:ascii="仿宋_GB2312" w:hAnsi="宋体" w:eastAsia="仿宋_GB2312"/>
          <w:sz w:val="32"/>
          <w:szCs w:val="32"/>
        </w:rPr>
        <w:t>，其中</w:t>
      </w:r>
      <w:r>
        <w:rPr>
          <w:rFonts w:hint="eastAsia" w:ascii="仿宋_GB2312" w:hAnsi="宋体" w:eastAsia="仿宋_GB2312"/>
          <w:bCs/>
          <w:sz w:val="32"/>
          <w:szCs w:val="32"/>
        </w:rPr>
        <w:t>苗种购置费用应占到总资金的90%以上</w:t>
      </w:r>
      <w:r>
        <w:rPr>
          <w:rFonts w:hint="eastAsia" w:ascii="仿宋_GB2312" w:hAnsi="宋体" w:eastAsia="仿宋_GB2312"/>
          <w:bCs/>
          <w:sz w:val="32"/>
          <w:szCs w:val="32"/>
          <w:lang w:eastAsia="zh-CN"/>
        </w:rPr>
        <w:t>，计</w:t>
      </w:r>
      <w:r>
        <w:rPr>
          <w:rFonts w:hint="eastAsia" w:ascii="仿宋_GB2312" w:hAnsi="宋体" w:eastAsia="仿宋_GB2312"/>
          <w:bCs/>
          <w:sz w:val="32"/>
          <w:szCs w:val="32"/>
          <w:lang w:val="en-US" w:eastAsia="zh-CN"/>
        </w:rPr>
        <w:t>31.5万元</w:t>
      </w:r>
      <w:r>
        <w:rPr>
          <w:rFonts w:hint="eastAsia" w:ascii="仿宋_GB2312" w:hAnsi="宋体" w:eastAsia="仿宋_GB2312"/>
          <w:bCs/>
          <w:sz w:val="32"/>
          <w:szCs w:val="32"/>
        </w:rPr>
        <w:t>。</w:t>
      </w:r>
    </w:p>
    <w:p>
      <w:pPr>
        <w:keepNext w:val="0"/>
        <w:keepLines w:val="0"/>
        <w:pageBreakBefore w:val="0"/>
        <w:widowControl w:val="0"/>
        <w:kinsoku/>
        <w:wordWrap/>
        <w:overflowPunct/>
        <w:topLinePunct w:val="0"/>
        <w:autoSpaceDE/>
        <w:autoSpaceDN/>
        <w:bidi w:val="0"/>
        <w:snapToGrid/>
        <w:spacing w:line="240" w:lineRule="auto"/>
        <w:ind w:firstLine="642" w:firstLineChars="200"/>
        <w:textAlignment w:val="auto"/>
        <w:rPr>
          <w:rFonts w:hint="eastAsia" w:ascii="仿宋_GB2312" w:hAnsi="宋体" w:eastAsia="仿宋_GB2312"/>
          <w:sz w:val="32"/>
          <w:szCs w:val="32"/>
        </w:rPr>
      </w:pPr>
      <w:r>
        <w:rPr>
          <w:rFonts w:hint="eastAsia" w:ascii="楷体" w:hAnsi="楷体" w:eastAsia="楷体" w:cs="楷体"/>
          <w:b/>
          <w:bCs/>
          <w:sz w:val="32"/>
          <w:szCs w:val="32"/>
        </w:rPr>
        <w:t>（二）强化政策公开。</w:t>
      </w:r>
      <w:r>
        <w:rPr>
          <w:rFonts w:hint="eastAsia" w:ascii="仿宋_GB2312" w:hAnsi="宋体" w:eastAsia="仿宋_GB2312"/>
          <w:sz w:val="32"/>
          <w:szCs w:val="32"/>
        </w:rPr>
        <w:t>建立公开公示制度。</w:t>
      </w:r>
      <w:r>
        <w:rPr>
          <w:rFonts w:hint="eastAsia" w:ascii="仿宋_GB2312" w:hAnsi="宋体" w:eastAsia="仿宋_GB2312"/>
          <w:bCs/>
          <w:sz w:val="32"/>
          <w:szCs w:val="32"/>
        </w:rPr>
        <w:t>苗种由</w:t>
      </w:r>
      <w:r>
        <w:rPr>
          <w:rFonts w:hint="eastAsia" w:ascii="仿宋_GB2312" w:hAnsi="宋体" w:eastAsia="仿宋_GB2312"/>
          <w:sz w:val="32"/>
          <w:szCs w:val="32"/>
          <w:lang w:eastAsia="zh-CN"/>
        </w:rPr>
        <w:t>青铜峡</w:t>
      </w:r>
      <w:r>
        <w:rPr>
          <w:rFonts w:hint="eastAsia" w:ascii="仿宋_GB2312" w:hAnsi="宋体" w:eastAsia="仿宋_GB2312"/>
          <w:sz w:val="32"/>
          <w:szCs w:val="32"/>
        </w:rPr>
        <w:t>市农业农村局按照“公开、公平、公正”的原则，</w:t>
      </w:r>
      <w:r>
        <w:rPr>
          <w:rFonts w:hint="eastAsia" w:ascii="仿宋_GB2312" w:hAnsi="宋体" w:eastAsia="仿宋_GB2312"/>
          <w:sz w:val="32"/>
          <w:szCs w:val="32"/>
          <w:lang w:eastAsia="zh-CN"/>
        </w:rPr>
        <w:t>按照政府采购相关规定采购用于放流的苗种或确定苗种生产单位</w:t>
      </w:r>
      <w:r>
        <w:rPr>
          <w:rFonts w:hint="eastAsia" w:ascii="仿宋_GB2312" w:hAnsi="宋体" w:eastAsia="仿宋_GB2312"/>
          <w:sz w:val="32"/>
          <w:szCs w:val="32"/>
        </w:rPr>
        <w:t>。将拟开展增殖放流活动的基本信息，包括放流区域、时间、品种、数量、规格等，向社会公示，接受社会监督。</w:t>
      </w:r>
    </w:p>
    <w:p>
      <w:pPr>
        <w:keepNext w:val="0"/>
        <w:keepLines w:val="0"/>
        <w:pageBreakBefore w:val="0"/>
        <w:widowControl w:val="0"/>
        <w:kinsoku/>
        <w:wordWrap/>
        <w:overflowPunct/>
        <w:topLinePunct w:val="0"/>
        <w:autoSpaceDE/>
        <w:autoSpaceDN/>
        <w:bidi w:val="0"/>
        <w:snapToGrid/>
        <w:spacing w:line="240" w:lineRule="auto"/>
        <w:ind w:firstLine="642" w:firstLineChars="200"/>
        <w:textAlignment w:val="auto"/>
        <w:rPr>
          <w:rFonts w:hint="eastAsia" w:ascii="仿宋_GB2312" w:hAnsi="宋体" w:eastAsia="仿宋_GB2312"/>
          <w:sz w:val="32"/>
          <w:szCs w:val="32"/>
        </w:rPr>
      </w:pPr>
      <w:r>
        <w:rPr>
          <w:rFonts w:hint="eastAsia" w:ascii="楷体" w:hAnsi="楷体" w:eastAsia="楷体" w:cs="楷体"/>
          <w:b/>
          <w:bCs/>
          <w:sz w:val="32"/>
          <w:szCs w:val="32"/>
        </w:rPr>
        <w:t>（三）严把供苗单位资质关。</w:t>
      </w:r>
      <w:r>
        <w:rPr>
          <w:rFonts w:hint="eastAsia" w:ascii="仿宋_GB2312" w:hAnsi="宋体" w:eastAsia="仿宋_GB2312"/>
          <w:sz w:val="32"/>
          <w:szCs w:val="32"/>
        </w:rPr>
        <w:t>建立增殖放流苗种供应单位准入制度和黑名单制度，综合评价</w:t>
      </w:r>
      <w:r>
        <w:rPr>
          <w:rFonts w:hint="eastAsia" w:ascii="仿宋_GB2312" w:eastAsia="仿宋_GB2312"/>
          <w:sz w:val="32"/>
          <w:szCs w:val="32"/>
        </w:rPr>
        <w:t>供苗单位的社会信誉、亲本情况、技术保障能力、苗种供应能力、苗种质量、数量、供苗的时效性、工作配合度。</w:t>
      </w:r>
    </w:p>
    <w:p>
      <w:pPr>
        <w:keepNext w:val="0"/>
        <w:keepLines w:val="0"/>
        <w:pageBreakBefore w:val="0"/>
        <w:widowControl w:val="0"/>
        <w:kinsoku/>
        <w:wordWrap/>
        <w:overflowPunct/>
        <w:topLinePunct w:val="0"/>
        <w:autoSpaceDE/>
        <w:autoSpaceDN/>
        <w:bidi w:val="0"/>
        <w:snapToGrid/>
        <w:spacing w:line="240" w:lineRule="auto"/>
        <w:ind w:firstLine="642" w:firstLineChars="200"/>
        <w:textAlignment w:val="auto"/>
        <w:rPr>
          <w:rFonts w:hint="eastAsia" w:ascii="仿宋_GB2312" w:hAnsi="宋体" w:eastAsia="仿宋_GB2312"/>
          <w:sz w:val="32"/>
          <w:szCs w:val="32"/>
        </w:rPr>
      </w:pPr>
      <w:r>
        <w:rPr>
          <w:rFonts w:hint="eastAsia" w:ascii="楷体" w:hAnsi="楷体" w:eastAsia="楷体" w:cs="楷体"/>
          <w:b/>
          <w:bCs/>
          <w:sz w:val="32"/>
          <w:szCs w:val="32"/>
        </w:rPr>
        <w:t>（四）严把放流苗种关。</w:t>
      </w:r>
      <w:r>
        <w:rPr>
          <w:rFonts w:hint="eastAsia" w:ascii="仿宋_GB2312" w:hAnsi="宋体" w:eastAsia="仿宋_GB2312"/>
          <w:b/>
          <w:bCs/>
          <w:sz w:val="32"/>
          <w:szCs w:val="32"/>
        </w:rPr>
        <w:t>严把种质关。</w:t>
      </w:r>
      <w:r>
        <w:rPr>
          <w:rFonts w:hint="eastAsia" w:ascii="仿宋_GB2312" w:hAnsi="宋体" w:eastAsia="仿宋_GB2312"/>
          <w:sz w:val="32"/>
          <w:szCs w:val="32"/>
        </w:rPr>
        <w:t>用于增殖放流鱼苗的亲体、苗种必须是本地培育鱼种。</w:t>
      </w:r>
      <w:r>
        <w:rPr>
          <w:rFonts w:hint="eastAsia" w:ascii="仿宋_GB2312" w:hAnsi="宋体" w:eastAsia="仿宋_GB2312"/>
          <w:b/>
          <w:sz w:val="32"/>
          <w:szCs w:val="32"/>
        </w:rPr>
        <w:t>严把质量关。</w:t>
      </w:r>
      <w:r>
        <w:rPr>
          <w:rFonts w:hint="eastAsia" w:ascii="仿宋_GB2312" w:hAnsi="宋体" w:eastAsia="仿宋_GB2312"/>
          <w:bCs/>
          <w:sz w:val="32"/>
          <w:szCs w:val="32"/>
        </w:rPr>
        <w:t>用于增殖放流的鱼苗必须健康、优质、无病害、无药物残留。</w:t>
      </w:r>
      <w:r>
        <w:rPr>
          <w:rFonts w:hint="eastAsia" w:ascii="仿宋_GB2312" w:hAnsi="宋体" w:eastAsia="仿宋_GB2312"/>
          <w:b/>
          <w:bCs/>
          <w:sz w:val="32"/>
          <w:szCs w:val="32"/>
        </w:rPr>
        <w:t>严把数量关。</w:t>
      </w:r>
      <w:r>
        <w:rPr>
          <w:rFonts w:hint="eastAsia" w:ascii="仿宋_GB2312" w:hAnsi="宋体" w:eastAsia="仿宋_GB2312"/>
          <w:sz w:val="32"/>
          <w:szCs w:val="32"/>
        </w:rPr>
        <w:t>放流苗种必须足量，品种、数量、规格符合放流要求。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宋体" w:eastAsia="仿宋_GB2312"/>
          <w:sz w:val="32"/>
          <w:szCs w:val="32"/>
        </w:rPr>
      </w:pPr>
      <w:r>
        <w:rPr>
          <w:rFonts w:hint="eastAsia" w:ascii="楷体" w:hAnsi="楷体" w:eastAsia="楷体" w:cs="楷体"/>
          <w:b/>
          <w:bCs/>
          <w:sz w:val="32"/>
          <w:szCs w:val="32"/>
        </w:rPr>
        <w:t>（五）强化放流水域渔政执法管理。</w:t>
      </w:r>
      <w:r>
        <w:rPr>
          <w:rFonts w:hint="eastAsia" w:ascii="仿宋_GB2312" w:hAnsi="宋体" w:eastAsia="仿宋_GB2312"/>
          <w:sz w:val="32"/>
          <w:szCs w:val="32"/>
        </w:rPr>
        <w:t>按照属地管理原则，严厉打击各种在放流水域进行的捕捞行为，清理绝户网、“三无”船只，确保放流效果。</w:t>
      </w:r>
    </w:p>
    <w:p>
      <w:pPr>
        <w:rPr>
          <w:rFonts w:hint="default" w:ascii="黑体" w:hAnsi="宋体" w:eastAsia="黑体" w:cs="黑体"/>
          <w:sz w:val="32"/>
          <w:szCs w:val="32"/>
          <w:lang w:val="en-US" w:eastAsia="zh-CN"/>
        </w:rPr>
      </w:pPr>
      <w:r>
        <w:rPr>
          <w:rFonts w:hint="default" w:ascii="黑体" w:hAnsi="黑体" w:eastAsia="黑体" w:cs="黑体"/>
          <w:sz w:val="32"/>
          <w:szCs w:val="32"/>
          <w:lang w:val="en-US" w:eastAsia="zh-CN"/>
        </w:rPr>
        <w:br w:type="page"/>
      </w:r>
      <w:r>
        <w:rPr>
          <w:rFonts w:hint="eastAsia" w:ascii="黑体" w:hAnsi="宋体" w:eastAsia="黑体" w:cs="黑体"/>
          <w:sz w:val="32"/>
          <w:szCs w:val="32"/>
          <w:lang w:bidi="ar"/>
        </w:rPr>
        <w:t>附</w:t>
      </w:r>
      <w:r>
        <w:rPr>
          <w:rFonts w:hint="eastAsia" w:ascii="黑体" w:hAnsi="宋体" w:eastAsia="黑体" w:cs="黑体"/>
          <w:sz w:val="32"/>
          <w:szCs w:val="32"/>
          <w:lang w:eastAsia="zh-CN" w:bidi="ar"/>
        </w:rPr>
        <w:t>件</w:t>
      </w:r>
      <w:r>
        <w:rPr>
          <w:rFonts w:hint="eastAsia" w:ascii="黑体" w:hAnsi="宋体" w:eastAsia="黑体" w:cs="黑体"/>
          <w:sz w:val="32"/>
          <w:szCs w:val="32"/>
          <w:lang w:val="en-US" w:eastAsia="zh-CN" w:bidi="ar"/>
        </w:rPr>
        <w:t>4</w:t>
      </w:r>
    </w:p>
    <w:p>
      <w:pPr>
        <w:jc w:val="center"/>
        <w:rPr>
          <w:rFonts w:hint="eastAsia"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lang w:eastAsia="zh-CN" w:bidi="ar"/>
        </w:rPr>
        <w:t>青铜峡市</w:t>
      </w:r>
      <w:r>
        <w:rPr>
          <w:rFonts w:hint="eastAsia" w:ascii="Times New Roman" w:hAnsi="Times New Roman" w:eastAsia="方正小标宋简体" w:cs="方正小标宋简体"/>
          <w:bCs/>
          <w:sz w:val="36"/>
          <w:szCs w:val="36"/>
          <w:lang w:bidi="ar"/>
        </w:rPr>
        <w:t>202</w:t>
      </w:r>
      <w:r>
        <w:rPr>
          <w:rFonts w:hint="eastAsia" w:ascii="Times New Roman" w:hAnsi="Times New Roman" w:eastAsia="方正小标宋简体" w:cs="方正小标宋简体"/>
          <w:bCs/>
          <w:sz w:val="36"/>
          <w:szCs w:val="36"/>
          <w:lang w:val="en-US" w:eastAsia="zh-CN" w:bidi="ar"/>
        </w:rPr>
        <w:t>5</w:t>
      </w:r>
      <w:r>
        <w:rPr>
          <w:rFonts w:hint="eastAsia" w:ascii="Times New Roman" w:hAnsi="Times New Roman" w:eastAsia="方正小标宋简体" w:cs="方正小标宋简体"/>
          <w:bCs/>
          <w:sz w:val="36"/>
          <w:szCs w:val="36"/>
          <w:lang w:bidi="ar"/>
        </w:rPr>
        <w:t>年</w:t>
      </w:r>
      <w:r>
        <w:rPr>
          <w:rFonts w:hint="eastAsia" w:eastAsia="方正小标宋简体" w:cs="方正小标宋简体"/>
          <w:bCs/>
          <w:sz w:val="36"/>
          <w:szCs w:val="36"/>
          <w:lang w:eastAsia="zh-CN" w:bidi="ar"/>
        </w:rPr>
        <w:t>渔业资源保护</w:t>
      </w:r>
      <w:r>
        <w:rPr>
          <w:rFonts w:hint="eastAsia" w:ascii="Times New Roman" w:hAnsi="Times New Roman" w:eastAsia="方正小标宋简体" w:cs="方正小标宋简体"/>
          <w:bCs/>
          <w:sz w:val="36"/>
          <w:szCs w:val="36"/>
          <w:lang w:bidi="ar"/>
        </w:rPr>
        <w:t>项目绩效考核指标体系</w:t>
      </w:r>
    </w:p>
    <w:tbl>
      <w:tblPr>
        <w:tblStyle w:val="7"/>
        <w:tblW w:w="10209"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959"/>
        <w:gridCol w:w="1192"/>
        <w:gridCol w:w="5595"/>
        <w:gridCol w:w="69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sz w:val="24"/>
              </w:rPr>
            </w:pPr>
            <w:r>
              <w:rPr>
                <w:rFonts w:hint="eastAsia" w:ascii="Times New Roman" w:hAnsi="Times New Roman" w:eastAsia="仿宋" w:cs="仿宋"/>
                <w:b/>
                <w:sz w:val="24"/>
                <w:lang w:bidi="ar"/>
              </w:rPr>
              <w:t>评价指标</w:t>
            </w:r>
          </w:p>
        </w:tc>
        <w:tc>
          <w:tcPr>
            <w:tcW w:w="55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sz w:val="24"/>
              </w:rPr>
            </w:pPr>
            <w:r>
              <w:rPr>
                <w:rFonts w:hint="eastAsia" w:ascii="Times New Roman" w:hAnsi="Times New Roman" w:eastAsia="仿宋" w:cs="仿宋"/>
                <w:b/>
                <w:sz w:val="24"/>
                <w:lang w:bidi="ar"/>
              </w:rPr>
              <w:t>考核内容及评分标准</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sz w:val="24"/>
              </w:rPr>
            </w:pPr>
            <w:r>
              <w:rPr>
                <w:rFonts w:hint="eastAsia" w:ascii="Times New Roman" w:hAnsi="Times New Roman" w:eastAsia="仿宋" w:cs="仿宋"/>
                <w:b/>
                <w:sz w:val="24"/>
                <w:lang w:bidi="ar"/>
              </w:rPr>
              <w:t>赋分</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sz w:val="24"/>
              </w:rPr>
            </w:pPr>
            <w:r>
              <w:rPr>
                <w:rFonts w:hint="eastAsia" w:ascii="Times New Roman" w:hAnsi="Times New Roman" w:eastAsia="仿宋" w:cs="仿宋"/>
                <w:b/>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一级指标</w:t>
            </w:r>
          </w:p>
        </w:tc>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二级</w:t>
            </w:r>
          </w:p>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指标</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三级指标</w:t>
            </w:r>
          </w:p>
        </w:tc>
        <w:tc>
          <w:tcPr>
            <w:tcW w:w="55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项</w:t>
            </w:r>
          </w:p>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目</w:t>
            </w:r>
          </w:p>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管</w:t>
            </w:r>
          </w:p>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理</w:t>
            </w:r>
          </w:p>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(30分)</w:t>
            </w:r>
          </w:p>
        </w:tc>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组织管理</w:t>
            </w:r>
            <w:r>
              <w:rPr>
                <w:rFonts w:hint="eastAsia" w:ascii="Times New Roman" w:hAnsi="Times New Roman" w:eastAsia="仿宋" w:cs="仿宋"/>
                <w:spacing w:val="-34"/>
                <w:sz w:val="24"/>
                <w:lang w:bidi="ar"/>
              </w:rPr>
              <w:t>(10分)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组织机构</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pacing w:val="-11"/>
                <w:sz w:val="24"/>
                <w:lang w:bidi="ar"/>
              </w:rPr>
              <w:t>成立项目实施工作小组3分；没有成立0分。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实施方案</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制订实施方案3分；没有制订0分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验收总结</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按时按要求进行验收总结4分；无验收总结0分。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4</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业务</w:t>
            </w:r>
          </w:p>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管理</w:t>
            </w:r>
          </w:p>
          <w:p>
            <w:pPr>
              <w:spacing w:line="300" w:lineRule="exact"/>
              <w:jc w:val="center"/>
              <w:rPr>
                <w:rFonts w:hint="eastAsia" w:ascii="Times New Roman" w:hAnsi="Times New Roman" w:eastAsia="仿宋" w:cs="仿宋"/>
                <w:sz w:val="24"/>
              </w:rPr>
            </w:pPr>
            <w:r>
              <w:rPr>
                <w:rFonts w:hint="eastAsia" w:ascii="Times New Roman" w:hAnsi="Times New Roman" w:eastAsia="仿宋" w:cs="仿宋"/>
                <w:spacing w:val="-34"/>
                <w:sz w:val="24"/>
                <w:lang w:bidi="ar"/>
              </w:rPr>
              <w:t>(10分)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管理制度</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有项目管理制度3分；管理制度不完善得1-2分，没有得0分。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项目执行</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严格按项目实施方案执行7分；未按方案执行酌情扣分。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7</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财务</w:t>
            </w:r>
          </w:p>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管理</w:t>
            </w:r>
          </w:p>
          <w:p>
            <w:pPr>
              <w:spacing w:line="300" w:lineRule="exact"/>
              <w:jc w:val="center"/>
              <w:rPr>
                <w:rFonts w:hint="eastAsia" w:ascii="Times New Roman" w:hAnsi="Times New Roman" w:eastAsia="仿宋" w:cs="仿宋"/>
                <w:sz w:val="24"/>
              </w:rPr>
            </w:pPr>
            <w:r>
              <w:rPr>
                <w:rFonts w:hint="eastAsia" w:ascii="Times New Roman" w:hAnsi="Times New Roman" w:eastAsia="仿宋" w:cs="仿宋"/>
                <w:spacing w:val="-34"/>
                <w:sz w:val="24"/>
                <w:lang w:bidi="ar"/>
              </w:rPr>
              <w:t>(10分)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财务制度</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有项目资金管理办法，并符合财务会计制度3分；无制度0分。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资金使用</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资金支付程序、手续完善、用途合规4分；未按规定支付资金酌情扣分。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4</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财务监控</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采取有效的监控措施3分；无措施0分。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pacing w:val="-23"/>
                <w:sz w:val="24"/>
              </w:rPr>
            </w:pPr>
            <w:r>
              <w:rPr>
                <w:rFonts w:hint="eastAsia" w:ascii="Times New Roman" w:hAnsi="Times New Roman" w:eastAsia="仿宋" w:cs="仿宋"/>
                <w:spacing w:val="-23"/>
                <w:sz w:val="24"/>
                <w:lang w:bidi="ar"/>
              </w:rPr>
              <w:t>项目效果(70分)</w:t>
            </w:r>
          </w:p>
        </w:tc>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项目</w:t>
            </w:r>
          </w:p>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成果</w:t>
            </w:r>
          </w:p>
          <w:p>
            <w:pPr>
              <w:spacing w:line="300" w:lineRule="exact"/>
              <w:jc w:val="center"/>
              <w:rPr>
                <w:rFonts w:hint="eastAsia" w:ascii="Times New Roman" w:hAnsi="Times New Roman" w:eastAsia="仿宋" w:cs="仿宋"/>
                <w:sz w:val="24"/>
              </w:rPr>
            </w:pPr>
            <w:r>
              <w:rPr>
                <w:rFonts w:hint="eastAsia" w:ascii="Times New Roman" w:hAnsi="Times New Roman" w:eastAsia="仿宋" w:cs="仿宋"/>
                <w:spacing w:val="-34"/>
                <w:sz w:val="24"/>
                <w:lang w:bidi="ar"/>
              </w:rPr>
              <w:t>(</w:t>
            </w:r>
            <w:r>
              <w:rPr>
                <w:rFonts w:hint="eastAsia" w:ascii="Times New Roman" w:hAnsi="Times New Roman" w:eastAsia="仿宋" w:cs="仿宋"/>
                <w:spacing w:val="-34"/>
                <w:sz w:val="24"/>
                <w:lang w:val="en-US" w:eastAsia="zh-CN" w:bidi="ar"/>
              </w:rPr>
              <w:t>40</w:t>
            </w:r>
            <w:r>
              <w:rPr>
                <w:rFonts w:hint="eastAsia" w:ascii="Times New Roman" w:hAnsi="Times New Roman" w:eastAsia="仿宋" w:cs="仿宋"/>
                <w:spacing w:val="-34"/>
                <w:sz w:val="24"/>
                <w:lang w:bidi="ar"/>
              </w:rPr>
              <w:t>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数量指标</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完成绩效目标数量预期值1</w:t>
            </w:r>
            <w:r>
              <w:rPr>
                <w:rFonts w:hint="eastAsia" w:ascii="Times New Roman" w:hAnsi="Times New Roman" w:eastAsia="仿宋" w:cs="仿宋"/>
                <w:sz w:val="24"/>
                <w:lang w:val="en-US" w:eastAsia="zh-CN" w:bidi="ar"/>
              </w:rPr>
              <w:t>5</w:t>
            </w:r>
            <w:r>
              <w:rPr>
                <w:rFonts w:hint="eastAsia" w:ascii="Times New Roman" w:hAnsi="Times New Roman" w:eastAsia="仿宋" w:cs="仿宋"/>
                <w:sz w:val="24"/>
                <w:lang w:bidi="ar"/>
              </w:rPr>
              <w:t>分；完成60%以下0分。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eastAsia="zh-CN"/>
              </w:rPr>
            </w:pPr>
            <w:r>
              <w:rPr>
                <w:rFonts w:hint="eastAsia" w:ascii="Times New Roman" w:hAnsi="Times New Roman" w:eastAsia="仿宋" w:cs="仿宋"/>
                <w:sz w:val="24"/>
                <w:lang w:bidi="ar"/>
              </w:rPr>
              <w:t>1</w:t>
            </w:r>
            <w:r>
              <w:rPr>
                <w:rFonts w:hint="eastAsia" w:ascii="Times New Roman" w:hAnsi="Times New Roman" w:eastAsia="仿宋" w:cs="仿宋"/>
                <w:sz w:val="24"/>
                <w:lang w:val="en-US" w:eastAsia="zh-CN" w:bidi="ar"/>
              </w:rPr>
              <w:t>5</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质量指标</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各项目任务质量达标率100%15分，每减少5%扣1分，扣完为止。</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15</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时效指标</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pacing w:val="-11"/>
                <w:sz w:val="24"/>
                <w:lang w:bidi="ar"/>
              </w:rPr>
              <w:t>按时完成项目任务6分，未按时完成0分；年度资金执行率90%以上4分，以下0分。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项目</w:t>
            </w:r>
          </w:p>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效益</w:t>
            </w:r>
          </w:p>
          <w:p>
            <w:pPr>
              <w:spacing w:line="300" w:lineRule="exact"/>
              <w:jc w:val="center"/>
              <w:rPr>
                <w:rFonts w:hint="eastAsia" w:ascii="Times New Roman" w:hAnsi="Times New Roman" w:eastAsia="仿宋" w:cs="仿宋"/>
                <w:sz w:val="24"/>
              </w:rPr>
            </w:pPr>
            <w:r>
              <w:rPr>
                <w:rFonts w:hint="eastAsia" w:ascii="Times New Roman" w:hAnsi="Times New Roman" w:eastAsia="仿宋" w:cs="仿宋"/>
                <w:spacing w:val="-34"/>
                <w:sz w:val="24"/>
                <w:lang w:bidi="ar"/>
              </w:rPr>
              <w:t>(3</w:t>
            </w:r>
            <w:r>
              <w:rPr>
                <w:rFonts w:hint="eastAsia" w:ascii="Times New Roman" w:hAnsi="Times New Roman" w:eastAsia="仿宋" w:cs="仿宋"/>
                <w:spacing w:val="-34"/>
                <w:sz w:val="24"/>
                <w:lang w:val="en-US" w:eastAsia="zh-CN" w:bidi="ar"/>
              </w:rPr>
              <w:t>0</w:t>
            </w:r>
            <w:r>
              <w:rPr>
                <w:rFonts w:hint="eastAsia" w:ascii="Times New Roman" w:hAnsi="Times New Roman" w:eastAsia="仿宋" w:cs="仿宋"/>
                <w:spacing w:val="-34"/>
                <w:sz w:val="24"/>
                <w:lang w:bidi="ar"/>
              </w:rPr>
              <w:t>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生态效益</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重要经济物种放流资源贡献率≥2%得15分；每低0.5个百分点扣3分，扣完为止。</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val="en-US" w:eastAsia="zh-CN" w:bidi="ar"/>
              </w:rPr>
              <w:t>1</w:t>
            </w:r>
            <w:r>
              <w:rPr>
                <w:rFonts w:hint="eastAsia" w:ascii="Times New Roman" w:hAnsi="Times New Roman" w:eastAsia="仿宋" w:cs="仿宋"/>
                <w:sz w:val="24"/>
                <w:lang w:bidi="ar"/>
              </w:rPr>
              <w:t>5</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9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bidi="ar"/>
              </w:rPr>
              <w:t>服务对象满意度</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rPr>
            </w:pPr>
            <w:r>
              <w:rPr>
                <w:rFonts w:hint="eastAsia" w:ascii="Times New Roman" w:hAnsi="Times New Roman" w:eastAsia="仿宋" w:cs="仿宋"/>
                <w:sz w:val="24"/>
                <w:lang w:bidi="ar"/>
              </w:rPr>
              <w:t>服务受益对象满意度80%以上</w:t>
            </w:r>
            <w:r>
              <w:rPr>
                <w:rFonts w:hint="eastAsia" w:ascii="Times New Roman" w:hAnsi="Times New Roman" w:eastAsia="仿宋" w:cs="仿宋"/>
                <w:sz w:val="24"/>
                <w:lang w:val="en-US" w:eastAsia="zh-CN" w:bidi="ar"/>
              </w:rPr>
              <w:t>1</w:t>
            </w:r>
            <w:r>
              <w:rPr>
                <w:rFonts w:hint="eastAsia" w:ascii="Times New Roman" w:hAnsi="Times New Roman" w:eastAsia="仿宋" w:cs="仿宋"/>
                <w:sz w:val="24"/>
                <w:lang w:bidi="ar"/>
              </w:rPr>
              <w:t>5分，每低1个百分点扣1分，扣完为止。</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r>
              <w:rPr>
                <w:rFonts w:hint="eastAsia" w:ascii="Times New Roman" w:hAnsi="Times New Roman" w:eastAsia="仿宋" w:cs="仿宋"/>
                <w:sz w:val="24"/>
                <w:lang w:val="en-US" w:eastAsia="zh-CN" w:bidi="ar"/>
              </w:rPr>
              <w:t>15</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4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eastAsia="zh-CN" w:bidi="ar"/>
              </w:rPr>
            </w:pPr>
            <w:r>
              <w:rPr>
                <w:rFonts w:hint="eastAsia" w:ascii="Times New Roman" w:hAnsi="Times New Roman" w:eastAsia="仿宋" w:cs="仿宋"/>
                <w:sz w:val="24"/>
                <w:lang w:eastAsia="zh-CN" w:bidi="ar"/>
              </w:rPr>
              <w:t>合计</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lang w:bidi="ar"/>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sz w:val="24"/>
                <w:lang w:bidi="ar"/>
              </w:rPr>
              <w:t>100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45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r>
              <w:rPr>
                <w:rFonts w:hint="eastAsia" w:ascii="Times New Roman" w:hAnsi="Times New Roman" w:eastAsia="仿宋" w:cs="仿宋"/>
                <w:b/>
                <w:bCs/>
                <w:sz w:val="24"/>
                <w:lang w:eastAsia="zh-CN" w:bidi="ar"/>
              </w:rPr>
              <w:t>备注</w:t>
            </w:r>
          </w:p>
        </w:tc>
        <w:tc>
          <w:tcPr>
            <w:tcW w:w="55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Times New Roman" w:hAnsi="Times New Roman" w:eastAsia="仿宋" w:cs="仿宋"/>
                <w:sz w:val="24"/>
                <w:lang w:bidi="ar"/>
              </w:rPr>
            </w:pPr>
            <w:r>
              <w:rPr>
                <w:rFonts w:hint="eastAsia" w:ascii="Times New Roman" w:hAnsi="Times New Roman" w:eastAsia="仿宋" w:cs="仿宋"/>
                <w:sz w:val="24"/>
                <w:lang w:bidi="ar"/>
              </w:rPr>
              <w:t>资金使用与管理中出现弄虚作假等重大违规违纪问题的，考核不合格。</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lang w:bidi="ar"/>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sz w:val="24"/>
              </w:rPr>
            </w:pPr>
          </w:p>
        </w:tc>
      </w:tr>
    </w:tbl>
    <w:p>
      <w:pPr>
        <w:spacing w:before="156" w:beforeLines="50"/>
        <w:jc w:val="both"/>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br w:type="page"/>
      </w:r>
    </w:p>
    <w:tbl>
      <w:tblPr>
        <w:tblStyle w:val="7"/>
        <w:tblpPr w:leftFromText="180" w:rightFromText="180" w:vertAnchor="text" w:horzAnchor="page" w:tblpX="1585" w:tblpY="-481"/>
        <w:tblOverlap w:val="never"/>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0"/>
        <w:gridCol w:w="887"/>
        <w:gridCol w:w="148"/>
        <w:gridCol w:w="1205"/>
        <w:gridCol w:w="130"/>
        <w:gridCol w:w="1385"/>
        <w:gridCol w:w="1393"/>
        <w:gridCol w:w="1496"/>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667" w:type="dxa"/>
            <w:gridSpan w:val="2"/>
            <w:noWrap w:val="0"/>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附件5</w:t>
            </w:r>
          </w:p>
        </w:tc>
        <w:tc>
          <w:tcPr>
            <w:tcW w:w="1353" w:type="dxa"/>
            <w:gridSpan w:val="2"/>
            <w:noWrap w:val="0"/>
            <w:vAlign w:val="center"/>
          </w:tcPr>
          <w:p>
            <w:pPr>
              <w:rPr>
                <w:rFonts w:hint="eastAsia" w:ascii="黑体" w:hAnsi="宋体" w:eastAsia="黑体" w:cs="黑体"/>
                <w:i w:val="0"/>
                <w:color w:val="000000"/>
                <w:sz w:val="24"/>
                <w:szCs w:val="24"/>
                <w:u w:val="none"/>
              </w:rPr>
            </w:pPr>
          </w:p>
        </w:tc>
        <w:tc>
          <w:tcPr>
            <w:tcW w:w="1515" w:type="dxa"/>
            <w:gridSpan w:val="2"/>
            <w:noWrap w:val="0"/>
            <w:vAlign w:val="center"/>
          </w:tcPr>
          <w:p>
            <w:pPr>
              <w:rPr>
                <w:rFonts w:hint="eastAsia" w:ascii="黑体" w:hAnsi="宋体" w:eastAsia="黑体" w:cs="黑体"/>
                <w:i w:val="0"/>
                <w:color w:val="000000"/>
                <w:sz w:val="24"/>
                <w:szCs w:val="24"/>
                <w:u w:val="none"/>
              </w:rPr>
            </w:pPr>
          </w:p>
        </w:tc>
        <w:tc>
          <w:tcPr>
            <w:tcW w:w="1393" w:type="dxa"/>
            <w:noWrap w:val="0"/>
            <w:vAlign w:val="center"/>
          </w:tcPr>
          <w:p>
            <w:pPr>
              <w:rPr>
                <w:rFonts w:hint="eastAsia" w:ascii="黑体" w:hAnsi="宋体" w:eastAsia="黑体" w:cs="黑体"/>
                <w:i w:val="0"/>
                <w:color w:val="000000"/>
                <w:sz w:val="24"/>
                <w:szCs w:val="24"/>
                <w:u w:val="none"/>
              </w:rPr>
            </w:pPr>
          </w:p>
        </w:tc>
        <w:tc>
          <w:tcPr>
            <w:tcW w:w="1496" w:type="dxa"/>
            <w:noWrap w:val="0"/>
            <w:vAlign w:val="center"/>
          </w:tcPr>
          <w:p>
            <w:pPr>
              <w:rPr>
                <w:rFonts w:hint="eastAsia" w:ascii="黑体" w:hAnsi="宋体" w:eastAsia="黑体" w:cs="黑体"/>
                <w:i w:val="0"/>
                <w:color w:val="000000"/>
                <w:sz w:val="24"/>
                <w:szCs w:val="24"/>
                <w:u w:val="none"/>
              </w:rPr>
            </w:pPr>
          </w:p>
        </w:tc>
        <w:tc>
          <w:tcPr>
            <w:tcW w:w="1423" w:type="dxa"/>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847" w:type="dxa"/>
            <w:gridSpan w:val="9"/>
            <w:noWrap w:val="0"/>
            <w:vAlign w:val="center"/>
          </w:tcPr>
          <w:p>
            <w:pPr>
              <w:keepNext w:val="0"/>
              <w:keepLines w:val="0"/>
              <w:widowControl/>
              <w:suppressLineNumbers w:val="0"/>
              <w:jc w:val="center"/>
              <w:textAlignment w:val="center"/>
              <w:rPr>
                <w:rFonts w:ascii="Times New Roman" w:hAnsi="Times New Roman" w:eastAsia="方正小标宋_GBK" w:cs="方正小标宋_GBK"/>
                <w:i w:val="0"/>
                <w:color w:val="000000"/>
                <w:sz w:val="40"/>
                <w:szCs w:val="40"/>
                <w:u w:val="none"/>
              </w:rPr>
            </w:pPr>
            <w:r>
              <w:rPr>
                <w:rFonts w:hint="eastAsia" w:ascii="Times New Roman" w:hAnsi="Times New Roman" w:eastAsia="方正小标宋简体" w:cs="方正小标宋简体"/>
                <w:i w:val="0"/>
                <w:color w:val="000000"/>
                <w:kern w:val="0"/>
                <w:sz w:val="36"/>
                <w:szCs w:val="36"/>
                <w:u w:val="none"/>
                <w:lang w:val="en-US" w:eastAsia="zh-CN" w:bidi="ar"/>
              </w:rPr>
              <w:t>中央财政支农项目市县转移绩效目标表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847" w:type="dxa"/>
            <w:gridSpan w:val="9"/>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6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21"/>
                <w:szCs w:val="21"/>
                <w:u w:val="none"/>
                <w:lang w:val="en-US" w:eastAsia="zh-CN" w:bidi="ar"/>
              </w:rPr>
            </w:pPr>
            <w:r>
              <w:rPr>
                <w:rFonts w:hint="eastAsia" w:ascii="Times New Roman" w:hAnsi="Times New Roman" w:eastAsia="宋体" w:cs="宋体"/>
                <w:b/>
                <w:i w:val="0"/>
                <w:color w:val="000000"/>
                <w:kern w:val="0"/>
                <w:sz w:val="21"/>
                <w:szCs w:val="21"/>
                <w:u w:val="none"/>
                <w:lang w:val="en-US" w:eastAsia="zh-CN" w:bidi="ar"/>
              </w:rPr>
              <w:t>项目名称</w:t>
            </w:r>
          </w:p>
        </w:tc>
        <w:tc>
          <w:tcPr>
            <w:tcW w:w="718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b/>
                <w:bCs/>
                <w:i w:val="0"/>
                <w:color w:val="000000"/>
                <w:kern w:val="0"/>
                <w:sz w:val="21"/>
                <w:szCs w:val="21"/>
                <w:u w:val="none"/>
                <w:lang w:val="en-US" w:eastAsia="zh-CN" w:bidi="ar"/>
              </w:rPr>
              <w:t>青铜峡市2025年渔业资源保护项目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6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21"/>
                <w:szCs w:val="21"/>
                <w:u w:val="none"/>
                <w:lang w:val="en-US" w:eastAsia="zh-CN" w:bidi="ar"/>
              </w:rPr>
            </w:pPr>
            <w:r>
              <w:rPr>
                <w:rFonts w:hint="eastAsia" w:ascii="Times New Roman" w:hAnsi="Times New Roman" w:eastAsia="宋体" w:cs="宋体"/>
                <w:b/>
                <w:i w:val="0"/>
                <w:color w:val="000000"/>
                <w:kern w:val="0"/>
                <w:sz w:val="21"/>
                <w:szCs w:val="21"/>
                <w:u w:val="none"/>
                <w:lang w:val="en-US" w:eastAsia="zh-CN" w:bidi="ar"/>
              </w:rPr>
              <w:t>中央主管部门</w:t>
            </w:r>
          </w:p>
        </w:tc>
        <w:tc>
          <w:tcPr>
            <w:tcW w:w="28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财政部、农业农村部</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color w:val="000000"/>
                <w:kern w:val="0"/>
                <w:sz w:val="21"/>
                <w:szCs w:val="21"/>
                <w:u w:val="none"/>
                <w:lang w:val="en-US" w:eastAsia="zh-CN" w:bidi="ar"/>
              </w:rPr>
              <w:t>实施单位</w:t>
            </w:r>
          </w:p>
        </w:tc>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青铜峡市农业农村局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6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21"/>
                <w:szCs w:val="21"/>
                <w:u w:val="none"/>
                <w:lang w:val="en-US" w:eastAsia="zh-CN" w:bidi="ar"/>
              </w:rPr>
            </w:pPr>
            <w:r>
              <w:rPr>
                <w:rFonts w:hint="eastAsia" w:ascii="Times New Roman" w:hAnsi="Times New Roman" w:eastAsia="宋体" w:cs="宋体"/>
                <w:b/>
                <w:i w:val="0"/>
                <w:color w:val="000000"/>
                <w:kern w:val="0"/>
                <w:sz w:val="21"/>
                <w:szCs w:val="21"/>
                <w:u w:val="none"/>
                <w:lang w:val="en-US" w:eastAsia="zh-CN" w:bidi="ar"/>
              </w:rPr>
              <w:t>省级主管部门</w:t>
            </w:r>
          </w:p>
        </w:tc>
        <w:tc>
          <w:tcPr>
            <w:tcW w:w="28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自治区财政厅、农业农村厅</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bCs/>
                <w:i w:val="0"/>
                <w:color w:val="000000"/>
                <w:sz w:val="21"/>
                <w:szCs w:val="21"/>
                <w:u w:val="none"/>
              </w:rPr>
            </w:pPr>
            <w:r>
              <w:rPr>
                <w:rFonts w:hint="eastAsia" w:ascii="Times New Roman" w:hAnsi="Times New Roman" w:eastAsia="宋体" w:cs="宋体"/>
                <w:b/>
                <w:bCs/>
                <w:i w:val="0"/>
                <w:color w:val="000000"/>
                <w:kern w:val="0"/>
                <w:sz w:val="21"/>
                <w:szCs w:val="21"/>
                <w:u w:val="none"/>
                <w:lang w:val="en-US" w:eastAsia="zh-CN" w:bidi="ar"/>
              </w:rPr>
              <w:t>项目期</w:t>
            </w:r>
          </w:p>
        </w:tc>
        <w:tc>
          <w:tcPr>
            <w:tcW w:w="29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1"/>
                <w:szCs w:val="21"/>
                <w:u w:val="none"/>
                <w:lang w:val="en-US" w:eastAsia="zh-CN" w:bidi="ar"/>
              </w:rPr>
            </w:pPr>
            <w:r>
              <w:rPr>
                <w:rFonts w:hint="eastAsia" w:ascii="Times New Roman" w:hAnsi="Times New Roman" w:eastAsia="宋体" w:cs="宋体"/>
                <w:i w:val="0"/>
                <w:color w:val="000000"/>
                <w:kern w:val="0"/>
                <w:sz w:val="21"/>
                <w:szCs w:val="21"/>
                <w:u w:val="none"/>
                <w:lang w:val="en-US" w:eastAsia="zh-CN" w:bidi="ar"/>
              </w:rPr>
              <w:t>项目资金</w:t>
            </w:r>
          </w:p>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（万元）</w:t>
            </w:r>
          </w:p>
        </w:tc>
        <w:tc>
          <w:tcPr>
            <w:tcW w:w="23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年度金额：</w:t>
            </w:r>
          </w:p>
        </w:tc>
        <w:tc>
          <w:tcPr>
            <w:tcW w:w="56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宋体"/>
                <w:i w:val="0"/>
                <w:color w:val="000000"/>
                <w:sz w:val="21"/>
                <w:szCs w:val="21"/>
                <w:u w:val="none"/>
                <w:lang w:val="en-US"/>
              </w:rPr>
            </w:pPr>
            <w:r>
              <w:rPr>
                <w:rFonts w:hint="eastAsia" w:ascii="Times New Roman" w:hAnsi="Times New Roman" w:eastAsia="宋体" w:cs="宋体"/>
                <w:i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i w:val="0"/>
                <w:color w:val="000000"/>
                <w:sz w:val="21"/>
                <w:szCs w:val="21"/>
                <w:u w:val="none"/>
              </w:rPr>
            </w:pPr>
          </w:p>
        </w:tc>
        <w:tc>
          <w:tcPr>
            <w:tcW w:w="23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其中：财政拨款</w:t>
            </w:r>
          </w:p>
        </w:tc>
        <w:tc>
          <w:tcPr>
            <w:tcW w:w="56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宋体"/>
                <w:i w:val="0"/>
                <w:color w:val="000000"/>
                <w:sz w:val="21"/>
                <w:szCs w:val="21"/>
                <w:u w:val="none"/>
                <w:lang w:val="en-US"/>
              </w:rPr>
            </w:pPr>
            <w:r>
              <w:rPr>
                <w:rFonts w:hint="eastAsia" w:ascii="Times New Roman" w:hAnsi="Times New Roman" w:eastAsia="宋体" w:cs="宋体"/>
                <w:i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i w:val="0"/>
                <w:color w:val="000000"/>
                <w:sz w:val="21"/>
                <w:szCs w:val="21"/>
                <w:u w:val="none"/>
              </w:rPr>
            </w:pPr>
          </w:p>
        </w:tc>
        <w:tc>
          <w:tcPr>
            <w:tcW w:w="23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其他资金</w:t>
            </w:r>
          </w:p>
        </w:tc>
        <w:tc>
          <w:tcPr>
            <w:tcW w:w="56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b/>
                <w:bCs/>
                <w:i w:val="0"/>
                <w:color w:val="000000"/>
                <w:kern w:val="0"/>
                <w:sz w:val="21"/>
                <w:szCs w:val="21"/>
                <w:u w:val="none"/>
                <w:lang w:val="en-US" w:eastAsia="zh-CN" w:bidi="ar"/>
              </w:rPr>
              <w:t>年度总体目标</w:t>
            </w:r>
          </w:p>
        </w:tc>
        <w:tc>
          <w:tcPr>
            <w:tcW w:w="806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在黄河</w:t>
            </w:r>
            <w:r>
              <w:rPr>
                <w:rFonts w:hint="eastAsia" w:ascii="Times New Roman" w:hAnsi="Times New Roman" w:cs="宋体"/>
                <w:i w:val="0"/>
                <w:color w:val="000000"/>
                <w:kern w:val="0"/>
                <w:sz w:val="21"/>
                <w:szCs w:val="21"/>
                <w:u w:val="none"/>
                <w:lang w:val="en-US" w:eastAsia="zh-CN" w:bidi="ar"/>
              </w:rPr>
              <w:t>青铜峡段</w:t>
            </w:r>
            <w:r>
              <w:rPr>
                <w:rFonts w:hint="eastAsia" w:ascii="Times New Roman" w:hAnsi="Times New Roman" w:eastAsia="宋体" w:cs="宋体"/>
                <w:i w:val="0"/>
                <w:color w:val="000000"/>
                <w:kern w:val="0"/>
                <w:sz w:val="21"/>
                <w:szCs w:val="21"/>
                <w:u w:val="none"/>
                <w:lang w:val="en-US" w:eastAsia="zh-CN" w:bidi="ar"/>
              </w:rPr>
              <w:t>水域放流经济鱼类80万尾，改善黄河及其附属水域生态环境，加快渔业种群资源恢复。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绩</w:t>
            </w:r>
            <w:r>
              <w:rPr>
                <w:rFonts w:hint="eastAsia" w:ascii="Times New Roman" w:hAnsi="Times New Roman" w:eastAsia="宋体" w:cs="宋体"/>
                <w:b/>
                <w:i w:val="0"/>
                <w:color w:val="000000"/>
                <w:kern w:val="0"/>
                <w:sz w:val="21"/>
                <w:szCs w:val="21"/>
                <w:u w:val="none"/>
                <w:lang w:val="en-US" w:eastAsia="zh-CN" w:bidi="ar"/>
              </w:rPr>
              <w:br w:type="textWrapping"/>
            </w:r>
            <w:r>
              <w:rPr>
                <w:rFonts w:hint="eastAsia" w:ascii="Times New Roman" w:hAnsi="Times New Roman" w:eastAsia="宋体" w:cs="宋体"/>
                <w:b/>
                <w:i w:val="0"/>
                <w:color w:val="000000"/>
                <w:kern w:val="0"/>
                <w:sz w:val="21"/>
                <w:szCs w:val="21"/>
                <w:u w:val="none"/>
                <w:lang w:val="en-US" w:eastAsia="zh-CN" w:bidi="ar"/>
              </w:rPr>
              <w:t>效</w:t>
            </w:r>
            <w:r>
              <w:rPr>
                <w:rFonts w:hint="eastAsia" w:ascii="Times New Roman" w:hAnsi="Times New Roman" w:eastAsia="宋体" w:cs="宋体"/>
                <w:b/>
                <w:i w:val="0"/>
                <w:color w:val="000000"/>
                <w:kern w:val="0"/>
                <w:sz w:val="21"/>
                <w:szCs w:val="21"/>
                <w:u w:val="none"/>
                <w:lang w:val="en-US" w:eastAsia="zh-CN" w:bidi="ar"/>
              </w:rPr>
              <w:br w:type="textWrapping"/>
            </w:r>
            <w:r>
              <w:rPr>
                <w:rFonts w:hint="eastAsia" w:ascii="Times New Roman" w:hAnsi="Times New Roman" w:eastAsia="宋体" w:cs="宋体"/>
                <w:b/>
                <w:i w:val="0"/>
                <w:color w:val="000000"/>
                <w:kern w:val="0"/>
                <w:sz w:val="21"/>
                <w:szCs w:val="21"/>
                <w:u w:val="none"/>
                <w:lang w:val="en-US" w:eastAsia="zh-CN" w:bidi="ar"/>
              </w:rPr>
              <w:t>指</w:t>
            </w:r>
            <w:r>
              <w:rPr>
                <w:rFonts w:hint="eastAsia" w:ascii="Times New Roman" w:hAnsi="Times New Roman" w:eastAsia="宋体" w:cs="宋体"/>
                <w:b/>
                <w:i w:val="0"/>
                <w:color w:val="000000"/>
                <w:kern w:val="0"/>
                <w:sz w:val="21"/>
                <w:szCs w:val="21"/>
                <w:u w:val="none"/>
                <w:lang w:val="en-US" w:eastAsia="zh-CN" w:bidi="ar"/>
              </w:rPr>
              <w:br w:type="textWrapping"/>
            </w:r>
            <w:r>
              <w:rPr>
                <w:rFonts w:hint="eastAsia" w:ascii="Times New Roman" w:hAnsi="Times New Roman" w:eastAsia="宋体" w:cs="宋体"/>
                <w:b/>
                <w:i w:val="0"/>
                <w:color w:val="000000"/>
                <w:kern w:val="0"/>
                <w:sz w:val="21"/>
                <w:szCs w:val="21"/>
                <w:u w:val="none"/>
                <w:lang w:val="en-US" w:eastAsia="zh-CN" w:bidi="ar"/>
              </w:rPr>
              <w:t>标</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一级指标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二级指标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三级指标</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0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产出指标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数量指标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渔业增殖放流规模（万尾）</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宋体"/>
                <w:i w:val="0"/>
                <w:color w:val="000000"/>
                <w:sz w:val="21"/>
                <w:szCs w:val="21"/>
                <w:u w:val="none"/>
                <w:lang w:val="en-US"/>
              </w:rPr>
            </w:pPr>
            <w:r>
              <w:rPr>
                <w:rFonts w:hint="eastAsia" w:ascii="Times New Roman" w:hAnsi="Times New Roman" w:eastAsia="宋体" w:cs="宋体"/>
                <w:i w:val="0"/>
                <w:color w:val="000000"/>
                <w:kern w:val="0"/>
                <w:sz w:val="21"/>
                <w:szCs w:val="21"/>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质量指标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放流苗种质量</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放流苗种健康、无药残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时效指标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增殖放流完成时间</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0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效益指标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社会效益指标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资金使用重大违规违纪问题</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生态效益指标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重要经济物种放流资源贡献率</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b/>
                <w:i w:val="0"/>
                <w:color w:val="000000"/>
                <w:sz w:val="21"/>
                <w:szCs w:val="21"/>
                <w:u w:val="none"/>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b/>
                <w:i w:val="0"/>
                <w:color w:val="000000"/>
                <w:kern w:val="0"/>
                <w:sz w:val="21"/>
                <w:szCs w:val="21"/>
                <w:u w:val="none"/>
                <w:lang w:val="en-US" w:eastAsia="zh-CN" w:bidi="ar"/>
              </w:rPr>
            </w:pPr>
            <w:r>
              <w:rPr>
                <w:rFonts w:hint="eastAsia" w:ascii="Times New Roman" w:hAnsi="Times New Roman" w:eastAsia="宋体" w:cs="宋体"/>
                <w:b/>
                <w:i w:val="0"/>
                <w:color w:val="000000"/>
                <w:kern w:val="0"/>
                <w:sz w:val="21"/>
                <w:szCs w:val="21"/>
                <w:u w:val="none"/>
                <w:lang w:val="en-US" w:eastAsia="zh-CN" w:bidi="ar"/>
              </w:rPr>
              <w:t>满意度</w:t>
            </w:r>
          </w:p>
          <w:p>
            <w:pPr>
              <w:keepNext w:val="0"/>
              <w:keepLines w:val="0"/>
              <w:widowControl/>
              <w:suppressLineNumbers w:val="0"/>
              <w:jc w:val="center"/>
              <w:textAlignment w:val="center"/>
              <w:rPr>
                <w:rFonts w:hint="eastAsia" w:ascii="Times New Roman" w:hAnsi="Times New Roman" w:eastAsia="宋体" w:cs="宋体"/>
                <w:b/>
                <w:i w:val="0"/>
                <w:color w:val="000000"/>
                <w:sz w:val="21"/>
                <w:szCs w:val="21"/>
                <w:u w:val="none"/>
              </w:rPr>
            </w:pPr>
            <w:r>
              <w:rPr>
                <w:rFonts w:hint="eastAsia" w:ascii="Times New Roman" w:hAnsi="Times New Roman" w:eastAsia="宋体" w:cs="宋体"/>
                <w:b/>
                <w:i w:val="0"/>
                <w:color w:val="000000"/>
                <w:kern w:val="0"/>
                <w:sz w:val="21"/>
                <w:szCs w:val="21"/>
                <w:u w:val="none"/>
                <w:lang w:val="en-US" w:eastAsia="zh-CN" w:bidi="ar"/>
              </w:rPr>
              <w:t>指标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服务对象</w:t>
            </w:r>
            <w:r>
              <w:rPr>
                <w:rFonts w:hint="eastAsia" w:ascii="Times New Roman" w:hAnsi="Times New Roman" w:eastAsia="宋体" w:cs="宋体"/>
                <w:i w:val="0"/>
                <w:color w:val="000000"/>
                <w:kern w:val="0"/>
                <w:sz w:val="21"/>
                <w:szCs w:val="21"/>
                <w:u w:val="none"/>
                <w:lang w:val="en-US" w:eastAsia="zh-CN" w:bidi="ar"/>
              </w:rPr>
              <w:br w:type="textWrapping"/>
            </w:r>
            <w:r>
              <w:rPr>
                <w:rFonts w:hint="eastAsia" w:ascii="Times New Roman" w:hAnsi="Times New Roman" w:eastAsia="宋体" w:cs="宋体"/>
                <w:i w:val="0"/>
                <w:color w:val="000000"/>
                <w:kern w:val="0"/>
                <w:sz w:val="21"/>
                <w:szCs w:val="21"/>
                <w:u w:val="none"/>
                <w:lang w:val="en-US" w:eastAsia="zh-CN" w:bidi="ar"/>
              </w:rPr>
              <w:t>满意度指标</w:t>
            </w:r>
          </w:p>
        </w:tc>
        <w:tc>
          <w:tcPr>
            <w:tcW w:w="42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 xml:space="preserve"> 增殖放流区域内抽样调查满意度</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1"/>
                <w:szCs w:val="21"/>
                <w:u w:val="none"/>
              </w:rPr>
            </w:pPr>
            <w:r>
              <w:rPr>
                <w:rFonts w:hint="eastAsia" w:ascii="Times New Roman" w:hAnsi="Times New Roman" w:eastAsia="宋体" w:cs="宋体"/>
                <w:i w:val="0"/>
                <w:color w:val="000000"/>
                <w:kern w:val="0"/>
                <w:sz w:val="21"/>
                <w:szCs w:val="21"/>
                <w:u w:val="none"/>
                <w:lang w:val="en-US" w:eastAsia="zh-CN" w:bidi="ar"/>
              </w:rPr>
              <w:t>≥80%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黑体" w:hAnsi="黑体" w:eastAsia="黑体" w:cs="黑体"/>
          <w:sz w:val="32"/>
          <w:szCs w:val="32"/>
          <w:lang w:val="en-US" w:eastAsia="zh-CN"/>
        </w:rPr>
      </w:pPr>
    </w:p>
    <w:p>
      <w:pPr>
        <w:pStyle w:val="4"/>
        <w:ind w:firstLine="720" w:firstLineChars="200"/>
        <w:rPr>
          <w:rFonts w:hint="eastAsia" w:ascii="仿宋_GB2312" w:hAnsi="仿宋_GB2312" w:eastAsia="仿宋_GB2312" w:cs="仿宋_GB2312"/>
          <w:sz w:val="36"/>
          <w:szCs w:val="36"/>
          <w:lang w:eastAsia="zh-CN"/>
        </w:rPr>
      </w:pPr>
    </w:p>
    <w:p>
      <w:pPr>
        <w:pStyle w:val="10"/>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C0F0C"/>
    <w:rsid w:val="0234075F"/>
    <w:rsid w:val="049C0F0C"/>
    <w:rsid w:val="0E05551E"/>
    <w:rsid w:val="29BF6EAE"/>
    <w:rsid w:val="2FF4D359"/>
    <w:rsid w:val="36F6AEA9"/>
    <w:rsid w:val="37642C06"/>
    <w:rsid w:val="38C50B61"/>
    <w:rsid w:val="3FF9878E"/>
    <w:rsid w:val="3FFFCCA8"/>
    <w:rsid w:val="4BFE4AB6"/>
    <w:rsid w:val="59FF5376"/>
    <w:rsid w:val="61DC2D50"/>
    <w:rsid w:val="657FF8AC"/>
    <w:rsid w:val="6AB36095"/>
    <w:rsid w:val="6FDF74E3"/>
    <w:rsid w:val="77DFCCBE"/>
    <w:rsid w:val="79CBEC75"/>
    <w:rsid w:val="7BF3FF86"/>
    <w:rsid w:val="7EFDBED6"/>
    <w:rsid w:val="7FAFCAAF"/>
    <w:rsid w:val="7FBEBA04"/>
    <w:rsid w:val="BBEACA12"/>
    <w:rsid w:val="EE7DF083"/>
    <w:rsid w:val="FBF79135"/>
    <w:rsid w:val="FDB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r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Indent1"/>
    <w:basedOn w:val="1"/>
    <w:qFormat/>
    <w:uiPriority w:val="0"/>
    <w:pPr>
      <w:ind w:firstLine="200" w:firstLineChars="200"/>
    </w:pPr>
    <w:rPr>
      <w:rFonts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2023-06-12T16:13:00Z</dcterms:created>
  <dc:creator>Cherishmet</dc:creator>
  <cp:lastModifiedBy>qtxs</cp:lastModifiedBy>
  <cp:lastPrinted>2025-06-27T01:17:00Z</cp:lastPrinted>
  <dcterms:modified xsi:type="dcterms:W3CDTF">2025-06-30T16:35:22Z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0171F0319F39328555A4546827035F89_43</vt:lpwstr>
  </property>
</Properties>
</file>