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方正小标宋简体" w:hAnsi="仿宋" w:eastAsia="方正小标宋简体"/>
          <w:kern w:val="0"/>
          <w:sz w:val="44"/>
          <w:szCs w:val="44"/>
        </w:rPr>
        <w:t>青铜峡市司法局2018年部门预算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kern w:val="0"/>
          <w:sz w:val="32"/>
          <w:szCs w:val="32"/>
        </w:rPr>
      </w:pPr>
    </w:p>
    <w:p>
      <w:pPr>
        <w:rPr>
          <w:rFonts w:ascii="仿宋" w:hAnsi="仿宋" w:eastAsia="仿宋"/>
          <w:b/>
          <w:kern w:val="0"/>
          <w:sz w:val="32"/>
          <w:szCs w:val="32"/>
        </w:r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目</w:t>
      </w:r>
      <w:r>
        <w:rPr>
          <w:rFonts w:hint="eastAsia" w:ascii="宋体" w:hAnsi="宋体" w:eastAsia="方正小标宋简体"/>
          <w:kern w:val="0"/>
          <w:sz w:val="44"/>
          <w:szCs w:val="44"/>
        </w:rPr>
        <w:t> </w:t>
      </w:r>
      <w:r>
        <w:rPr>
          <w:rFonts w:hint="eastAsia" w:ascii="方正小标宋简体" w:hAnsi="仿宋" w:eastAsia="方正小标宋简体"/>
          <w:kern w:val="0"/>
          <w:sz w:val="44"/>
          <w:szCs w:val="44"/>
        </w:rPr>
        <w:t xml:space="preserve"> 录</w:t>
      </w:r>
    </w:p>
    <w:p>
      <w:pPr>
        <w:rPr>
          <w:rFonts w:ascii="仿宋" w:hAnsi="仿宋" w:eastAsia="仿宋"/>
          <w:b/>
          <w:kern w:val="0"/>
          <w:sz w:val="32"/>
          <w:szCs w:val="32"/>
        </w:rPr>
      </w:pPr>
    </w:p>
    <w:p>
      <w:pPr>
        <w:ind w:firstLine="720" w:firstLineChars="225"/>
        <w:rPr>
          <w:rFonts w:ascii="黑体" w:hAnsi="黑体" w:eastAsia="黑体"/>
          <w:kern w:val="0"/>
          <w:sz w:val="32"/>
          <w:szCs w:val="32"/>
        </w:rPr>
      </w:pPr>
      <w:r>
        <w:rPr>
          <w:rFonts w:hint="eastAsia" w:ascii="黑体" w:hAnsi="黑体" w:eastAsia="黑体"/>
          <w:kern w:val="0"/>
          <w:sz w:val="32"/>
          <w:szCs w:val="32"/>
        </w:rPr>
        <w:t>第一部分    单位概况</w:t>
      </w:r>
    </w:p>
    <w:p>
      <w:pPr>
        <w:ind w:firstLine="720" w:firstLineChars="225"/>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color w:val="000000"/>
          <w:kern w:val="0"/>
          <w:sz w:val="32"/>
          <w:szCs w:val="32"/>
        </w:rPr>
        <w:t>主要职能</w:t>
      </w:r>
    </w:p>
    <w:p>
      <w:pPr>
        <w:ind w:firstLine="720" w:firstLineChars="225"/>
        <w:rPr>
          <w:rFonts w:ascii="仿宋" w:hAnsi="仿宋" w:eastAsia="仿宋"/>
          <w:kern w:val="0"/>
          <w:sz w:val="32"/>
          <w:szCs w:val="32"/>
        </w:rPr>
      </w:pPr>
      <w:r>
        <w:rPr>
          <w:rFonts w:hint="eastAsia" w:ascii="仿宋" w:hAnsi="仿宋" w:eastAsia="仿宋"/>
          <w:color w:val="000000"/>
          <w:kern w:val="0"/>
          <w:sz w:val="32"/>
          <w:szCs w:val="32"/>
        </w:rPr>
        <w:t>二、部门预算单位构成</w:t>
      </w:r>
    </w:p>
    <w:p>
      <w:pPr>
        <w:ind w:firstLine="720" w:firstLineChars="225"/>
        <w:rPr>
          <w:rFonts w:ascii="黑体" w:hAnsi="黑体" w:eastAsia="黑体"/>
          <w:kern w:val="0"/>
          <w:sz w:val="32"/>
          <w:szCs w:val="32"/>
        </w:rPr>
      </w:pPr>
      <w:r>
        <w:rPr>
          <w:rFonts w:hint="eastAsia" w:ascii="黑体" w:hAnsi="黑体" w:eastAsia="黑体"/>
          <w:kern w:val="0"/>
          <w:sz w:val="32"/>
          <w:szCs w:val="32"/>
        </w:rPr>
        <w:t>第二部分    2018年部门预算表</w:t>
      </w:r>
    </w:p>
    <w:p>
      <w:pPr>
        <w:ind w:firstLine="720" w:firstLineChars="225"/>
        <w:rPr>
          <w:rFonts w:ascii="仿宋" w:hAnsi="仿宋" w:eastAsia="仿宋"/>
          <w:kern w:val="0"/>
          <w:sz w:val="32"/>
          <w:szCs w:val="32"/>
        </w:rPr>
      </w:pPr>
      <w:r>
        <w:rPr>
          <w:rFonts w:hint="eastAsia" w:ascii="仿宋" w:hAnsi="仿宋" w:eastAsia="仿宋"/>
          <w:kern w:val="0"/>
          <w:sz w:val="32"/>
          <w:szCs w:val="32"/>
        </w:rPr>
        <w:t>一、财政拨款收支预算总表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二、财政拨款支出预算总表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三、一般公共预算支出表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四、一般公共预算基本支出和项目支出部门经济分类科目表</w:t>
      </w:r>
    </w:p>
    <w:p>
      <w:pPr>
        <w:ind w:firstLine="720" w:firstLineChars="225"/>
        <w:rPr>
          <w:rFonts w:ascii="仿宋" w:hAnsi="仿宋" w:eastAsia="仿宋"/>
          <w:kern w:val="0"/>
          <w:sz w:val="32"/>
          <w:szCs w:val="32"/>
        </w:rPr>
      </w:pPr>
      <w:r>
        <w:rPr>
          <w:rFonts w:hint="eastAsia" w:ascii="仿宋" w:hAnsi="仿宋" w:eastAsia="仿宋"/>
          <w:kern w:val="0"/>
          <w:sz w:val="32"/>
          <w:szCs w:val="32"/>
        </w:rPr>
        <w:t>五、一般公共预算“三公”经费支出表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六、政府性基金预算支出明细表</w:t>
      </w:r>
    </w:p>
    <w:p>
      <w:pPr>
        <w:ind w:firstLine="720" w:firstLineChars="225"/>
        <w:rPr>
          <w:rFonts w:ascii="仿宋" w:hAnsi="仿宋" w:eastAsia="仿宋"/>
          <w:kern w:val="0"/>
          <w:sz w:val="32"/>
          <w:szCs w:val="32"/>
        </w:rPr>
      </w:pPr>
      <w:r>
        <w:rPr>
          <w:rFonts w:hint="eastAsia" w:ascii="仿宋" w:hAnsi="仿宋" w:eastAsia="仿宋"/>
          <w:kern w:val="0"/>
          <w:sz w:val="32"/>
          <w:szCs w:val="32"/>
        </w:rPr>
        <w:t>七、部门收支预算总表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八、部门收入总表</w:t>
      </w:r>
    </w:p>
    <w:p>
      <w:pPr>
        <w:ind w:firstLine="720" w:firstLineChars="225"/>
        <w:rPr>
          <w:rFonts w:ascii="仿宋" w:hAnsi="仿宋" w:eastAsia="仿宋"/>
          <w:kern w:val="0"/>
          <w:sz w:val="32"/>
          <w:szCs w:val="32"/>
        </w:rPr>
      </w:pPr>
      <w:r>
        <w:rPr>
          <w:rFonts w:hint="eastAsia" w:ascii="仿宋" w:hAnsi="仿宋" w:eastAsia="仿宋"/>
          <w:kern w:val="0"/>
          <w:sz w:val="32"/>
          <w:szCs w:val="32"/>
        </w:rPr>
        <w:t>九、部门支出总表</w:t>
      </w:r>
    </w:p>
    <w:p>
      <w:pPr>
        <w:ind w:firstLine="720" w:firstLineChars="225"/>
        <w:rPr>
          <w:rFonts w:ascii="黑体" w:hAnsi="黑体" w:eastAsia="黑体"/>
          <w:kern w:val="0"/>
          <w:sz w:val="32"/>
          <w:szCs w:val="32"/>
        </w:rPr>
      </w:pPr>
      <w:r>
        <w:rPr>
          <w:rFonts w:hint="eastAsia" w:ascii="黑体" w:hAnsi="黑体" w:eastAsia="黑体"/>
          <w:kern w:val="0"/>
          <w:sz w:val="32"/>
          <w:szCs w:val="32"/>
        </w:rPr>
        <w:t>第三部分   2018年部门预算情况说明</w:t>
      </w:r>
    </w:p>
    <w:p>
      <w:pPr>
        <w:ind w:firstLine="720" w:firstLineChars="225"/>
        <w:rPr>
          <w:rFonts w:ascii="黑体" w:hAnsi="黑体" w:eastAsia="黑体"/>
          <w:kern w:val="0"/>
          <w:sz w:val="32"/>
          <w:szCs w:val="32"/>
        </w:rPr>
      </w:pPr>
      <w:r>
        <w:rPr>
          <w:rFonts w:hint="eastAsia" w:ascii="黑体" w:hAnsi="黑体" w:eastAsia="黑体"/>
          <w:kern w:val="0"/>
          <w:sz w:val="32"/>
          <w:szCs w:val="32"/>
        </w:rPr>
        <w:t>第四部门   名词解释</w:t>
      </w: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司法局2018年部门预算——单位概况</w:t>
      </w:r>
    </w:p>
    <w:p>
      <w:pPr>
        <w:ind w:firstLine="716" w:firstLineChars="224"/>
        <w:rPr>
          <w:rFonts w:ascii="仿宋" w:hAnsi="仿宋" w:eastAsia="仿宋"/>
          <w:kern w:val="0"/>
          <w:sz w:val="32"/>
          <w:szCs w:val="32"/>
        </w:rPr>
      </w:pPr>
    </w:p>
    <w:p>
      <w:pPr>
        <w:ind w:firstLine="716" w:firstLineChars="224"/>
        <w:rPr>
          <w:rFonts w:ascii="黑体" w:hAnsi="黑体" w:eastAsia="黑体"/>
          <w:kern w:val="0"/>
          <w:sz w:val="32"/>
          <w:szCs w:val="32"/>
        </w:rPr>
      </w:pPr>
      <w:r>
        <w:rPr>
          <w:rFonts w:hint="eastAsia" w:ascii="黑体" w:hAnsi="黑体" w:eastAsia="黑体"/>
          <w:kern w:val="0"/>
          <w:sz w:val="32"/>
          <w:szCs w:val="32"/>
        </w:rPr>
        <w:t>一、</w:t>
      </w:r>
      <w:r>
        <w:rPr>
          <w:rFonts w:hint="eastAsia" w:ascii="黑体" w:hAnsi="黑体" w:eastAsia="黑体"/>
          <w:color w:val="000000"/>
          <w:kern w:val="0"/>
          <w:sz w:val="32"/>
          <w:szCs w:val="32"/>
        </w:rPr>
        <w:t>主要职能</w:t>
      </w:r>
      <w:r>
        <w:rPr>
          <w:rFonts w:hint="eastAsia" w:eastAsia="黑体"/>
          <w:kern w:val="0"/>
          <w:sz w:val="32"/>
          <w:szCs w:val="32"/>
        </w:rPr>
        <w:t> </w:t>
      </w:r>
    </w:p>
    <w:p>
      <w:pPr>
        <w:pStyle w:val="9"/>
        <w:spacing w:line="467" w:lineRule="atLeast"/>
        <w:ind w:firstLine="640" w:firstLineChars="200"/>
        <w:rPr>
          <w:rFonts w:ascii="仿宋" w:hAnsi="仿宋" w:eastAsia="仿宋"/>
          <w:sz w:val="32"/>
          <w:szCs w:val="32"/>
        </w:rPr>
      </w:pPr>
      <w:r>
        <w:rPr>
          <w:rFonts w:hint="eastAsia" w:ascii="仿宋" w:hAnsi="仿宋" w:eastAsia="仿宋"/>
          <w:sz w:val="32"/>
          <w:szCs w:val="32"/>
        </w:rPr>
        <w:t>1、贯彻执行国家、自治区司法行政工作的方针、政策，研究拟定全市司法行政工作的规定和办法，编制全市司法行政工作的中长期规划、年度工作要点并监督实施。</w:t>
      </w:r>
    </w:p>
    <w:p>
      <w:pPr>
        <w:pStyle w:val="9"/>
        <w:spacing w:line="467" w:lineRule="atLeast"/>
        <w:ind w:firstLine="640" w:firstLineChars="200"/>
        <w:rPr>
          <w:rFonts w:ascii="仿宋" w:hAnsi="仿宋" w:eastAsia="仿宋"/>
          <w:sz w:val="32"/>
          <w:szCs w:val="32"/>
        </w:rPr>
      </w:pPr>
      <w:r>
        <w:rPr>
          <w:rFonts w:hint="eastAsia" w:ascii="仿宋" w:hAnsi="仿宋" w:eastAsia="仿宋"/>
          <w:sz w:val="32"/>
          <w:szCs w:val="32"/>
        </w:rPr>
        <w:t>2、制定全市法制宣传和依法治市规划、年度计划并组织实施，指导全市依法治理和法制宣传工作。</w:t>
      </w:r>
    </w:p>
    <w:p>
      <w:pPr>
        <w:pStyle w:val="9"/>
        <w:spacing w:line="467" w:lineRule="atLeast"/>
        <w:ind w:firstLine="640" w:firstLineChars="200"/>
        <w:rPr>
          <w:rFonts w:ascii="仿宋" w:hAnsi="仿宋" w:eastAsia="仿宋"/>
          <w:sz w:val="32"/>
          <w:szCs w:val="32"/>
        </w:rPr>
      </w:pPr>
      <w:r>
        <w:rPr>
          <w:rFonts w:hint="eastAsia" w:ascii="仿宋" w:hAnsi="仿宋" w:eastAsia="仿宋"/>
          <w:sz w:val="32"/>
          <w:szCs w:val="32"/>
        </w:rPr>
        <w:t>3、指导、管理和协调全市法律服务工作；指导基层司法所、司法助理员、基层法律服务、人民调解工作和安置帮教工作。</w:t>
      </w:r>
    </w:p>
    <w:p>
      <w:pPr>
        <w:pStyle w:val="9"/>
        <w:spacing w:line="467" w:lineRule="atLeast"/>
        <w:ind w:firstLine="640" w:firstLineChars="200"/>
        <w:rPr>
          <w:rFonts w:ascii="仿宋" w:hAnsi="仿宋" w:eastAsia="仿宋"/>
          <w:sz w:val="32"/>
          <w:szCs w:val="32"/>
        </w:rPr>
      </w:pPr>
      <w:r>
        <w:rPr>
          <w:rFonts w:hint="eastAsia" w:ascii="仿宋" w:hAnsi="仿宋" w:eastAsia="仿宋"/>
          <w:sz w:val="32"/>
          <w:szCs w:val="32"/>
        </w:rPr>
        <w:t>4、负责全市律师机构、公证机构、社会法律服务机构登记、年检的初审工作。指导监督全市律师和公证业务活动。</w:t>
      </w:r>
    </w:p>
    <w:p>
      <w:pPr>
        <w:pStyle w:val="9"/>
        <w:spacing w:line="467" w:lineRule="atLeast"/>
        <w:rPr>
          <w:rFonts w:ascii="仿宋" w:hAnsi="仿宋" w:eastAsia="仿宋"/>
          <w:sz w:val="32"/>
          <w:szCs w:val="32"/>
        </w:rPr>
      </w:pPr>
      <w:r>
        <w:rPr>
          <w:rFonts w:hint="eastAsia" w:ascii="仿宋" w:hAnsi="仿宋" w:eastAsia="仿宋"/>
          <w:sz w:val="32"/>
          <w:szCs w:val="32"/>
        </w:rPr>
        <w:t xml:space="preserve">    5、负责全市司法行政系统的队伍建设和思想政治工作。</w:t>
      </w:r>
    </w:p>
    <w:p>
      <w:pPr>
        <w:pStyle w:val="9"/>
        <w:spacing w:line="467" w:lineRule="atLeast"/>
        <w:rPr>
          <w:rFonts w:ascii="仿宋" w:hAnsi="仿宋" w:eastAsia="仿宋"/>
          <w:sz w:val="32"/>
          <w:szCs w:val="32"/>
        </w:rPr>
      </w:pPr>
      <w:r>
        <w:rPr>
          <w:rFonts w:hint="eastAsia" w:ascii="仿宋" w:hAnsi="仿宋" w:eastAsia="仿宋"/>
          <w:sz w:val="32"/>
          <w:szCs w:val="32"/>
        </w:rPr>
        <w:t xml:space="preserve">    6、负责全市司法行政系统装备建设。</w:t>
      </w:r>
    </w:p>
    <w:p>
      <w:pPr>
        <w:pStyle w:val="9"/>
        <w:spacing w:line="467" w:lineRule="atLeast"/>
        <w:rPr>
          <w:rFonts w:ascii="仿宋" w:hAnsi="仿宋" w:eastAsia="仿宋"/>
          <w:sz w:val="32"/>
          <w:szCs w:val="32"/>
        </w:rPr>
      </w:pPr>
      <w:r>
        <w:rPr>
          <w:rFonts w:hint="eastAsia" w:ascii="仿宋" w:hAnsi="仿宋" w:eastAsia="仿宋"/>
          <w:sz w:val="32"/>
          <w:szCs w:val="32"/>
        </w:rPr>
        <w:t xml:space="preserve">    7、负责司法行政复议和应诉工作。</w:t>
      </w:r>
    </w:p>
    <w:p>
      <w:pPr>
        <w:pStyle w:val="9"/>
        <w:spacing w:line="467" w:lineRule="atLeast"/>
        <w:rPr>
          <w:rFonts w:ascii="仿宋" w:hAnsi="仿宋" w:eastAsia="仿宋"/>
          <w:sz w:val="32"/>
          <w:szCs w:val="32"/>
        </w:rPr>
      </w:pPr>
      <w:r>
        <w:rPr>
          <w:rFonts w:hint="eastAsia" w:ascii="仿宋" w:hAnsi="仿宋" w:eastAsia="仿宋"/>
          <w:sz w:val="32"/>
          <w:szCs w:val="32"/>
        </w:rPr>
        <w:t xml:space="preserve">    8、根据有关法律规定，代表国家为当事人提供法律援助，指导、管理全市的法律援助工作。</w:t>
      </w:r>
    </w:p>
    <w:p>
      <w:pPr>
        <w:pStyle w:val="9"/>
        <w:spacing w:line="467" w:lineRule="atLeast"/>
        <w:rPr>
          <w:rFonts w:ascii="仿宋" w:hAnsi="仿宋" w:eastAsia="仿宋"/>
          <w:sz w:val="32"/>
          <w:szCs w:val="32"/>
        </w:rPr>
      </w:pPr>
      <w:r>
        <w:rPr>
          <w:rFonts w:hint="eastAsia" w:ascii="仿宋" w:hAnsi="仿宋" w:eastAsia="仿宋"/>
          <w:sz w:val="32"/>
          <w:szCs w:val="32"/>
        </w:rPr>
        <w:t xml:space="preserve">    9、承办市政府交办的其它事项。</w:t>
      </w:r>
    </w:p>
    <w:p>
      <w:pPr>
        <w:ind w:firstLine="716" w:firstLineChars="224"/>
        <w:rPr>
          <w:rFonts w:ascii="黑体" w:hAnsi="黑体" w:eastAsia="黑体"/>
          <w:kern w:val="0"/>
          <w:sz w:val="32"/>
          <w:szCs w:val="32"/>
        </w:rPr>
      </w:pPr>
      <w:r>
        <w:rPr>
          <w:rFonts w:hint="eastAsia" w:ascii="黑体" w:hAnsi="黑体" w:eastAsia="黑体"/>
          <w:kern w:val="0"/>
          <w:sz w:val="32"/>
          <w:szCs w:val="32"/>
        </w:rPr>
        <w:t>二、部门预算单位构成</w:t>
      </w:r>
    </w:p>
    <w:p>
      <w:pPr>
        <w:ind w:firstLine="716" w:firstLineChars="224"/>
        <w:rPr>
          <w:rFonts w:ascii="仿宋" w:hAnsi="仿宋" w:eastAsia="仿宋"/>
          <w:color w:val="000000"/>
          <w:kern w:val="0"/>
          <w:sz w:val="32"/>
          <w:szCs w:val="32"/>
        </w:rPr>
      </w:pPr>
      <w:r>
        <w:rPr>
          <w:rFonts w:hint="eastAsia" w:ascii="仿宋" w:hAnsi="仿宋" w:eastAsia="仿宋"/>
          <w:color w:val="000000"/>
          <w:kern w:val="0"/>
          <w:sz w:val="32"/>
          <w:szCs w:val="32"/>
        </w:rPr>
        <w:t>对本部门（单位）及所属预算单位构成进行详细说明。</w:t>
      </w:r>
    </w:p>
    <w:p>
      <w:pPr>
        <w:ind w:firstLine="716" w:firstLineChars="224"/>
        <w:rPr>
          <w:rFonts w:ascii="仿宋" w:hAnsi="仿宋" w:eastAsia="仿宋"/>
          <w:kern w:val="0"/>
          <w:sz w:val="32"/>
          <w:szCs w:val="32"/>
        </w:rPr>
      </w:pPr>
      <w:r>
        <w:rPr>
          <w:rFonts w:hint="eastAsia" w:ascii="仿宋" w:hAnsi="仿宋" w:eastAsia="仿宋"/>
          <w:color w:val="000000"/>
          <w:kern w:val="0"/>
          <w:sz w:val="32"/>
          <w:szCs w:val="32"/>
        </w:rPr>
        <w:t>从预算单位构成看，司法局部门预算包括：司法局本级预算。</w:t>
      </w:r>
    </w:p>
    <w:p>
      <w:pPr>
        <w:ind w:firstLine="716" w:firstLineChars="224"/>
        <w:rPr>
          <w:rFonts w:ascii="仿宋" w:hAnsi="仿宋" w:eastAsia="仿宋"/>
          <w:kern w:val="0"/>
          <w:sz w:val="32"/>
          <w:szCs w:val="32"/>
        </w:rPr>
        <w:sectPr>
          <w:headerReference r:id="rId3" w:type="default"/>
          <w:pgSz w:w="11906" w:h="16838"/>
          <w:pgMar w:top="1418" w:right="1474" w:bottom="1418" w:left="1644" w:header="851" w:footer="992" w:gutter="0"/>
          <w:cols w:space="720" w:num="1"/>
          <w:docGrid w:type="lines" w:linePitch="312" w:charSpace="0"/>
        </w:sect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司法局2018年部门预算——预算表</w:t>
      </w:r>
    </w:p>
    <w:p>
      <w:pPr>
        <w:rPr>
          <w:rFonts w:ascii="黑体" w:hAnsi="黑体" w:eastAsia="黑体"/>
          <w:kern w:val="0"/>
          <w:sz w:val="24"/>
        </w:rPr>
      </w:pPr>
      <w:r>
        <w:rPr>
          <w:rFonts w:hint="eastAsia" w:ascii="黑体" w:hAnsi="黑体" w:eastAsia="黑体"/>
          <w:kern w:val="0"/>
          <w:sz w:val="32"/>
          <w:szCs w:val="32"/>
        </w:rPr>
        <w:t>一、财政拨款收支预算总表</w:t>
      </w:r>
    </w:p>
    <w:p>
      <w:pPr>
        <w:jc w:val="center"/>
        <w:rPr>
          <w:rFonts w:ascii="仿宋" w:hAnsi="仿宋" w:eastAsia="仿宋"/>
          <w:kern w:val="0"/>
          <w:sz w:val="32"/>
          <w:szCs w:val="32"/>
        </w:rPr>
      </w:pPr>
      <w:r>
        <w:rPr>
          <w:rFonts w:hint="eastAsia" w:ascii="仿宋" w:hAnsi="仿宋" w:eastAsia="仿宋"/>
          <w:b/>
          <w:kern w:val="0"/>
          <w:sz w:val="32"/>
          <w:szCs w:val="32"/>
        </w:rPr>
        <w:t>财政拨款收支预算总表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809" w:type="dxa"/>
        <w:tblInd w:w="0" w:type="dxa"/>
        <w:tblLayout w:type="fixed"/>
        <w:tblCellMar>
          <w:top w:w="0" w:type="dxa"/>
          <w:left w:w="0" w:type="dxa"/>
          <w:bottom w:w="0" w:type="dxa"/>
          <w:right w:w="0" w:type="dxa"/>
        </w:tblCellMar>
      </w:tblPr>
      <w:tblGrid>
        <w:gridCol w:w="3852"/>
        <w:gridCol w:w="1364"/>
        <w:gridCol w:w="3852"/>
        <w:gridCol w:w="1364"/>
        <w:gridCol w:w="1364"/>
        <w:gridCol w:w="2013"/>
      </w:tblGrid>
      <w:tr>
        <w:tblPrEx>
          <w:tblLayout w:type="fixed"/>
          <w:tblCellMar>
            <w:top w:w="0" w:type="dxa"/>
            <w:left w:w="0" w:type="dxa"/>
            <w:bottom w:w="0" w:type="dxa"/>
            <w:right w:w="0" w:type="dxa"/>
          </w:tblCellMar>
        </w:tblPrEx>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80"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kern w:val="0"/>
                <w:sz w:val="24"/>
                <w:lang w:val="en-US" w:eastAsia="zh-CN"/>
              </w:rPr>
            </w:pPr>
            <w:r>
              <w:rPr>
                <w:rFonts w:hint="eastAsia" w:ascii="仿宋" w:hAnsi="仿宋" w:eastAsia="仿宋"/>
                <w:kern w:val="0"/>
                <w:sz w:val="24"/>
                <w:lang w:val="en-US" w:eastAsia="zh-CN"/>
              </w:rPr>
              <w:t>1236.66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kern w:val="0"/>
                <w:sz w:val="24"/>
                <w:lang w:val="en-US" w:eastAsia="zh-CN"/>
              </w:rPr>
            </w:pPr>
            <w:r>
              <w:rPr>
                <w:rFonts w:hint="eastAsia" w:ascii="仿宋" w:hAnsi="仿宋" w:eastAsia="仿宋"/>
                <w:kern w:val="0"/>
                <w:sz w:val="24"/>
                <w:lang w:val="en-US" w:eastAsia="zh-CN"/>
              </w:rPr>
              <w:t>1236.66</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4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975.86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975.86</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140.56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140.56</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57.27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57.27</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2"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41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6"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62.98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62.98</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0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5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nil"/>
              <w:left w:val="nil"/>
              <w:bottom w:val="nil"/>
              <w:right w:val="nil"/>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4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支出总计1236.66</w:t>
            </w:r>
          </w:p>
        </w:tc>
      </w:tr>
    </w:tbl>
    <w:p>
      <w:pPr>
        <w:rPr>
          <w:rFonts w:ascii="仿宋" w:hAnsi="仿宋" w:eastAsia="仿宋"/>
          <w:kern w:val="0"/>
          <w:sz w:val="24"/>
        </w:rPr>
      </w:pPr>
    </w:p>
    <w:p>
      <w:pPr>
        <w:rPr>
          <w:rFonts w:ascii="仿宋" w:hAnsi="仿宋" w:eastAsia="仿宋"/>
          <w:kern w:val="0"/>
          <w:sz w:val="32"/>
          <w:szCs w:val="32"/>
        </w:rPr>
      </w:pPr>
      <w:r>
        <w:rPr>
          <w:rFonts w:hint="eastAsia" w:ascii="仿宋" w:hAnsi="仿宋" w:eastAsia="仿宋"/>
          <w:kern w:val="0"/>
          <w:sz w:val="32"/>
          <w:szCs w:val="32"/>
        </w:rPr>
        <w:t>注：支出预算功能科目各单位根据本单位实际据实填写。</w:t>
      </w:r>
    </w:p>
    <w:p>
      <w:pPr>
        <w:rPr>
          <w:rFonts w:ascii="仿宋" w:hAnsi="仿宋" w:eastAsia="仿宋"/>
          <w:kern w:val="0"/>
          <w:sz w:val="32"/>
          <w:szCs w:val="32"/>
        </w:rPr>
      </w:pPr>
    </w:p>
    <w:p>
      <w:pPr>
        <w:rPr>
          <w:rFonts w:ascii="仿宋" w:hAnsi="仿宋" w:eastAsia="仿宋"/>
          <w:kern w:val="0"/>
          <w:sz w:val="32"/>
          <w:szCs w:val="32"/>
        </w:rPr>
      </w:pPr>
    </w:p>
    <w:p>
      <w:pPr>
        <w:rPr>
          <w:rFonts w:ascii="黑体" w:hAnsi="黑体" w:eastAsia="黑体"/>
          <w:kern w:val="0"/>
          <w:sz w:val="24"/>
        </w:rPr>
      </w:pPr>
      <w:r>
        <w:rPr>
          <w:rFonts w:hint="eastAsia" w:ascii="黑体" w:hAnsi="黑体" w:eastAsia="黑体"/>
          <w:kern w:val="0"/>
          <w:sz w:val="32"/>
          <w:szCs w:val="32"/>
        </w:rPr>
        <w:t>二、财政拨款支出预算总表</w:t>
      </w:r>
    </w:p>
    <w:p>
      <w:pPr>
        <w:jc w:val="center"/>
        <w:rPr>
          <w:rFonts w:ascii="仿宋" w:hAnsi="仿宋" w:eastAsia="仿宋"/>
          <w:kern w:val="0"/>
          <w:sz w:val="24"/>
        </w:rPr>
      </w:pPr>
      <w:r>
        <w:rPr>
          <w:rFonts w:hint="eastAsia" w:ascii="仿宋" w:hAnsi="仿宋" w:eastAsia="仿宋"/>
          <w:b/>
          <w:kern w:val="0"/>
          <w:sz w:val="36"/>
          <w:szCs w:val="36"/>
        </w:rPr>
        <w:t>财政拨款支出预算总表</w:t>
      </w:r>
    </w:p>
    <w:p>
      <w:pPr>
        <w:rPr>
          <w:rFonts w:ascii="仿宋" w:hAnsi="仿宋" w:eastAsia="仿宋"/>
          <w:kern w:val="0"/>
          <w:sz w:val="28"/>
          <w:szCs w:val="28"/>
        </w:rPr>
      </w:pPr>
      <w:r>
        <w:rPr>
          <w:rFonts w:hint="eastAsia" w:ascii="仿宋" w:hAnsi="宋体" w:eastAsia="仿宋"/>
          <w:kern w:val="0"/>
          <w:sz w:val="32"/>
          <w:szCs w:val="32"/>
        </w:rPr>
        <w:t xml:space="preserve">                                       </w:t>
      </w:r>
      <w:r>
        <w:rPr>
          <w:rFonts w:hint="eastAsia" w:ascii="仿宋" w:hAnsi="仿宋" w:eastAsia="仿宋"/>
          <w:kern w:val="0"/>
          <w:sz w:val="28"/>
          <w:szCs w:val="28"/>
        </w:rPr>
        <w:t xml:space="preserve">   单位：万元</w:t>
      </w:r>
    </w:p>
    <w:tbl>
      <w:tblPr>
        <w:tblStyle w:val="6"/>
        <w:tblW w:w="13820" w:type="dxa"/>
        <w:tblInd w:w="0" w:type="dxa"/>
        <w:tblLayout w:type="fixed"/>
        <w:tblCellMar>
          <w:top w:w="0" w:type="dxa"/>
          <w:left w:w="0" w:type="dxa"/>
          <w:bottom w:w="0" w:type="dxa"/>
          <w:right w:w="0" w:type="dxa"/>
        </w:tblCellMar>
      </w:tblPr>
      <w:tblGrid>
        <w:gridCol w:w="1081"/>
        <w:gridCol w:w="2027"/>
        <w:gridCol w:w="1336"/>
        <w:gridCol w:w="1336"/>
        <w:gridCol w:w="1335"/>
        <w:gridCol w:w="1335"/>
        <w:gridCol w:w="1335"/>
        <w:gridCol w:w="1365"/>
        <w:gridCol w:w="1335"/>
        <w:gridCol w:w="1335"/>
      </w:tblGrid>
      <w:tr>
        <w:tblPrEx>
          <w:tblLayout w:type="fixed"/>
          <w:tblCellMar>
            <w:top w:w="0" w:type="dxa"/>
            <w:left w:w="0" w:type="dxa"/>
            <w:bottom w:w="0" w:type="dxa"/>
            <w:right w:w="0" w:type="dxa"/>
          </w:tblCellMar>
        </w:tblPrEx>
        <w:tc>
          <w:tcPr>
            <w:tcW w:w="310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功能分类科目</w:t>
            </w:r>
          </w:p>
        </w:tc>
        <w:tc>
          <w:tcPr>
            <w:tcW w:w="133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2018年预算安排总计</w:t>
            </w:r>
          </w:p>
        </w:tc>
        <w:tc>
          <w:tcPr>
            <w:tcW w:w="670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公共财政预算拨款</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政府性基金</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纳入财政专户管理的行政事业性收费安排的拨款</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科目编码</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科目名称</w:t>
            </w:r>
          </w:p>
        </w:tc>
        <w:tc>
          <w:tcPr>
            <w:tcW w:w="1336"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小计</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经费拨款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纳入预算管理的行政性收费安排的拨款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自治区专项转移支付</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自治区一般性转移支付</w:t>
            </w: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r>
      <w:tr>
        <w:tblPrEx>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2040604</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基层司法业务</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5</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49"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2040601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行政运行</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815.86</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2040602</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一般行政管理事务</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81</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39</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2040607</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法律援助</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45</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35</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2040605</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普法宣传</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29</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2210201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住房公积金</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62.98</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2080506</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机关事业单位职业年金缴费支出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40.16</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2101101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行政单位医疗</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40.16</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393"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2080505</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机关事业单位基本养老保险缴费支出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100.4</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368"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2101103</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公务员医疗补助</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m:oMathPara>
              <m:oMath>
                <m:r>
                  <m:rPr>
                    <m:sty m:val="p"/>
                  </m:rPr>
                  <w:rPr>
                    <w:rFonts w:hint="eastAsia" w:ascii="Cambria Math" w:hAnsi="Cambria Math" w:eastAsia="仿宋"/>
                    <w:kern w:val="0"/>
                    <w:sz w:val="24"/>
                  </w:rPr>
                  <m:t>17.11</m:t>
                </m:r>
              </m:oMath>
            </m:oMathPara>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合计</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hint="eastAsia" w:ascii="Cambria Math" w:hAnsi="Cambria Math" w:eastAsia="仿宋"/>
                <w:kern w:val="0"/>
                <w:sz w:val="24"/>
                <w:oMath/>
              </w:rPr>
            </w:pPr>
            <w:r>
              <w:rPr>
                <w:rFonts w:hint="eastAsia" w:ascii="仿宋" w:hAnsi="仿宋" w:eastAsia="仿宋"/>
                <w:kern w:val="0"/>
                <w:sz w:val="24"/>
              </w:rPr>
              <w:t>1236.66</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1159.66</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35</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bl>
    <w:tbl>
      <w:tblPr>
        <w:tblStyle w:val="6"/>
        <w:tblpPr w:leftFromText="180" w:rightFromText="180" w:vertAnchor="text" w:horzAnchor="page" w:tblpX="1733" w:tblpY="67"/>
        <w:tblOverlap w:val="never"/>
        <w:tblW w:w="13842" w:type="dxa"/>
        <w:tblInd w:w="0" w:type="dxa"/>
        <w:tblLayout w:type="fixed"/>
        <w:tblCellMar>
          <w:top w:w="0" w:type="dxa"/>
          <w:left w:w="108" w:type="dxa"/>
          <w:bottom w:w="0" w:type="dxa"/>
          <w:right w:w="108" w:type="dxa"/>
        </w:tblCellMar>
      </w:tblPr>
      <w:tblGrid>
        <w:gridCol w:w="1008"/>
        <w:gridCol w:w="141"/>
        <w:gridCol w:w="768"/>
        <w:gridCol w:w="106"/>
        <w:gridCol w:w="1394"/>
        <w:gridCol w:w="629"/>
        <w:gridCol w:w="647"/>
        <w:gridCol w:w="398"/>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tblPrEx>
          <w:tblLayout w:type="fixed"/>
          <w:tblCellMar>
            <w:top w:w="0" w:type="dxa"/>
            <w:left w:w="108" w:type="dxa"/>
            <w:bottom w:w="0" w:type="dxa"/>
            <w:right w:w="108" w:type="dxa"/>
          </w:tblCellMar>
        </w:tblPrEx>
        <w:trPr>
          <w:gridAfter w:val="1"/>
          <w:wAfter w:w="84" w:type="dxa"/>
          <w:trHeight w:val="495" w:hRule="atLeast"/>
        </w:trPr>
        <w:tc>
          <w:tcPr>
            <w:tcW w:w="6203" w:type="dxa"/>
            <w:gridSpan w:val="12"/>
            <w:tcBorders>
              <w:top w:val="nil"/>
              <w:left w:val="nil"/>
              <w:bottom w:val="nil"/>
              <w:right w:val="nil"/>
            </w:tcBorders>
          </w:tcPr>
          <w:p>
            <w:pPr>
              <w:rPr>
                <w:rFonts w:ascii="宋体" w:hAnsi="宋体" w:cs="宋体"/>
                <w:color w:val="000000"/>
                <w:kern w:val="0"/>
                <w:sz w:val="22"/>
                <w:szCs w:val="22"/>
              </w:rPr>
            </w:pPr>
            <w:r>
              <w:rPr>
                <w:rFonts w:hint="eastAsia" w:ascii="黑体" w:hAnsi="黑体" w:eastAsia="黑体"/>
                <w:kern w:val="0"/>
                <w:sz w:val="32"/>
                <w:szCs w:val="32"/>
              </w:rPr>
              <w:t>三、一般公共预算支出表</w:t>
            </w:r>
          </w:p>
        </w:tc>
        <w:tc>
          <w:tcPr>
            <w:tcW w:w="159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592"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658"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712"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 w:type="dxa"/>
          <w:trHeight w:val="495" w:hRule="atLeast"/>
        </w:trPr>
        <w:tc>
          <w:tcPr>
            <w:tcW w:w="13758" w:type="dxa"/>
            <w:gridSpan w:val="26"/>
            <w:tcBorders>
              <w:top w:val="nil"/>
              <w:left w:val="nil"/>
              <w:bottom w:val="nil"/>
              <w:right w:val="nil"/>
            </w:tcBorders>
          </w:tcPr>
          <w:p>
            <w:pPr>
              <w:jc w:val="center"/>
              <w:rPr>
                <w:rFonts w:ascii="仿宋" w:hAnsi="仿宋" w:eastAsia="仿宋"/>
                <w:b/>
                <w:kern w:val="0"/>
                <w:sz w:val="36"/>
                <w:szCs w:val="36"/>
              </w:rPr>
            </w:pPr>
            <w:r>
              <w:rPr>
                <w:rFonts w:hint="eastAsia" w:ascii="仿宋" w:hAnsi="仿宋" w:eastAsia="仿宋"/>
                <w:b/>
                <w:kern w:val="0"/>
                <w:sz w:val="36"/>
                <w:szCs w:val="36"/>
              </w:rPr>
              <w:t>一般公共预算支出表</w:t>
            </w:r>
          </w:p>
        </w:tc>
      </w:tr>
      <w:tr>
        <w:tblPrEx>
          <w:tblLayout w:type="fixed"/>
          <w:tblCellMar>
            <w:top w:w="0" w:type="dxa"/>
            <w:left w:w="108" w:type="dxa"/>
            <w:bottom w:w="0" w:type="dxa"/>
            <w:right w:w="108" w:type="dxa"/>
          </w:tblCellMar>
        </w:tblPrEx>
        <w:trPr>
          <w:trHeight w:val="495" w:hRule="atLeast"/>
        </w:trPr>
        <w:tc>
          <w:tcPr>
            <w:tcW w:w="1917"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500"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859" w:type="dxa"/>
            <w:gridSpan w:val="4"/>
            <w:tcBorders>
              <w:top w:val="nil"/>
              <w:left w:val="nil"/>
              <w:bottom w:val="single" w:color="auto" w:sz="4" w:space="0"/>
              <w:right w:val="nil"/>
            </w:tcBorders>
          </w:tcPr>
          <w:p>
            <w:pPr>
              <w:widowControl/>
              <w:jc w:val="left"/>
              <w:rPr>
                <w:rFonts w:ascii="宋体" w:hAnsi="宋体" w:cs="宋体"/>
                <w:color w:val="000000"/>
                <w:kern w:val="0"/>
                <w:sz w:val="22"/>
                <w:szCs w:val="22"/>
              </w:rPr>
            </w:pPr>
          </w:p>
        </w:tc>
        <w:tc>
          <w:tcPr>
            <w:tcW w:w="927"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59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851" w:type="dxa"/>
            <w:gridSpan w:val="5"/>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61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580" w:type="dxa"/>
            <w:gridSpan w:val="4"/>
            <w:tcBorders>
              <w:top w:val="nil"/>
              <w:left w:val="nil"/>
              <w:bottom w:val="nil"/>
              <w:right w:val="nil"/>
            </w:tcBorders>
            <w:shd w:val="clear" w:color="auto" w:fill="auto"/>
            <w:vAlign w:val="center"/>
          </w:tcPr>
          <w:p>
            <w:pPr>
              <w:rPr>
                <w:rFonts w:ascii="宋体" w:hAns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1"/>
          <w:wAfter w:w="84" w:type="dxa"/>
          <w:trHeight w:val="495" w:hRule="atLeast"/>
        </w:trPr>
        <w:tc>
          <w:tcPr>
            <w:tcW w:w="34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功能分类科目</w:t>
            </w:r>
          </w:p>
        </w:tc>
        <w:tc>
          <w:tcPr>
            <w:tcW w:w="1859" w:type="dxa"/>
            <w:gridSpan w:val="4"/>
            <w:vMerge w:val="restart"/>
            <w:tcBorders>
              <w:top w:val="single" w:color="auto" w:sz="4" w:space="0"/>
              <w:left w:val="nil"/>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2017年执行数</w:t>
            </w:r>
          </w:p>
        </w:tc>
        <w:tc>
          <w:tcPr>
            <w:tcW w:w="537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2018年预算数</w:t>
            </w:r>
          </w:p>
        </w:tc>
        <w:tc>
          <w:tcPr>
            <w:tcW w:w="3111"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2018年预算数与2017年执行数</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226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859" w:type="dxa"/>
            <w:gridSpan w:val="4"/>
            <w:vMerge w:val="continue"/>
            <w:tcBorders>
              <w:left w:val="nil"/>
              <w:bottom w:val="single" w:color="auto" w:sz="4" w:space="0"/>
              <w:right w:val="single" w:color="auto" w:sz="4" w:space="0"/>
            </w:tcBorders>
          </w:tcPr>
          <w:p>
            <w:pPr>
              <w:jc w:val="center"/>
              <w:rPr>
                <w:rFonts w:ascii="仿宋" w:hAnsi="仿宋" w:eastAsia="仿宋"/>
                <w:b/>
                <w:kern w:val="0"/>
                <w:sz w:val="22"/>
                <w:szCs w:val="22"/>
              </w:rPr>
            </w:pP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合计</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增减额</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增减%</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2040604</w:t>
            </w:r>
          </w:p>
        </w:tc>
        <w:tc>
          <w:tcPr>
            <w:tcW w:w="226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4"/>
              </w:rPr>
            </w:pPr>
            <w:r>
              <w:rPr>
                <w:rFonts w:hint="eastAsia" w:ascii="仿宋" w:hAnsi="仿宋" w:eastAsia="仿宋"/>
                <w:b/>
                <w:kern w:val="0"/>
                <w:sz w:val="24"/>
              </w:rPr>
              <w:t>基层司法业务</w:t>
            </w:r>
          </w:p>
        </w:tc>
        <w:tc>
          <w:tcPr>
            <w:tcW w:w="1859" w:type="dxa"/>
            <w:gridSpan w:val="4"/>
            <w:tcBorders>
              <w:top w:val="single" w:color="auto" w:sz="4" w:space="0"/>
              <w:left w:val="nil"/>
              <w:bottom w:val="single" w:color="auto" w:sz="4" w:space="0"/>
              <w:right w:val="single" w:color="auto" w:sz="4" w:space="0"/>
            </w:tcBorders>
          </w:tcPr>
          <w:p>
            <w:pPr>
              <w:rPr>
                <w:rFonts w:ascii="仿宋" w:hAnsi="仿宋" w:eastAsia="仿宋"/>
                <w:b/>
                <w:kern w:val="0"/>
                <w:sz w:val="22"/>
                <w:szCs w:val="22"/>
              </w:rPr>
            </w:pPr>
            <w:r>
              <w:rPr>
                <w:rFonts w:hint="eastAsia" w:ascii="仿宋" w:hAnsi="仿宋" w:eastAsia="仿宋"/>
                <w:b/>
                <w:kern w:val="0"/>
                <w:sz w:val="22"/>
                <w:szCs w:val="22"/>
              </w:rPr>
              <w:t>20.54</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5</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kern w:val="0"/>
                <w:sz w:val="24"/>
              </w:rPr>
              <w:t>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-15.54</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75.66%</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2040601</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行政运行</w:t>
            </w:r>
          </w:p>
        </w:tc>
        <w:tc>
          <w:tcPr>
            <w:tcW w:w="1859" w:type="dxa"/>
            <w:gridSpan w:val="4"/>
            <w:tcBorders>
              <w:top w:val="single" w:color="auto" w:sz="4" w:space="0"/>
              <w:left w:val="nil"/>
              <w:bottom w:val="single" w:color="auto" w:sz="4" w:space="0"/>
              <w:right w:val="single" w:color="auto" w:sz="4" w:space="0"/>
            </w:tcBorders>
          </w:tcPr>
          <w:p>
            <w:pPr>
              <w:rPr>
                <w:rFonts w:ascii="仿宋" w:hAnsi="仿宋" w:eastAsia="仿宋"/>
                <w:b/>
                <w:kern w:val="0"/>
                <w:sz w:val="22"/>
                <w:szCs w:val="22"/>
              </w:rPr>
            </w:pPr>
            <w:r>
              <w:rPr>
                <w:rFonts w:hint="eastAsia" w:ascii="仿宋" w:hAnsi="仿宋" w:eastAsia="仿宋"/>
                <w:b/>
                <w:kern w:val="0"/>
                <w:sz w:val="22"/>
                <w:szCs w:val="22"/>
              </w:rPr>
              <w:t>581.97</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815.86</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815.86</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233.89</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40.12%</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2040602</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一般行政管理事务</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200.67</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81</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81</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-119.67</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59.63%</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2040607</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法律援助</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70.72</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45</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45</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-25.72</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36.36%</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2040605</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普法宣传</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24.19</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29</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29</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4.81</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19.88%</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2210201</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住房公积金</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55.02</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62.98</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62.98</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7.96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12.64%</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2080506</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机关事业单位职业年金缴费支出</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0</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40.16</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40.16</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40.16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100%　</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2101101</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行政单位医疗</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25.87</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40.16</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40.16</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14.29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35.58%　</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2080505</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机关事业单位基本养老保险缴费支出</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67.61</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100.4</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100.4</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32.79</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32.66%　</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2101103</w:t>
            </w:r>
          </w:p>
        </w:tc>
        <w:tc>
          <w:tcPr>
            <w:tcW w:w="2268" w:type="dxa"/>
            <w:gridSpan w:val="3"/>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rPr>
            </w:pPr>
            <w:r>
              <w:rPr>
                <w:rFonts w:hint="eastAsia" w:ascii="仿宋" w:hAnsi="仿宋" w:eastAsia="仿宋"/>
                <w:kern w:val="0"/>
                <w:sz w:val="24"/>
              </w:rPr>
              <w:t>公务员医疗补助</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13.19</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17.11</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17.11</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3.92　</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22.9%</w:t>
            </w:r>
          </w:p>
        </w:tc>
      </w:tr>
      <w:tr>
        <w:tblPrEx>
          <w:tblLayout w:type="fixed"/>
          <w:tblCellMar>
            <w:top w:w="0" w:type="dxa"/>
            <w:left w:w="108" w:type="dxa"/>
            <w:bottom w:w="0" w:type="dxa"/>
            <w:right w:w="108" w:type="dxa"/>
          </w:tblCellMar>
        </w:tblPrEx>
        <w:trPr>
          <w:gridAfter w:val="1"/>
          <w:wAfter w:w="84" w:type="dxa"/>
          <w:trHeight w:val="495" w:hRule="atLeast"/>
        </w:trPr>
        <w:tc>
          <w:tcPr>
            <w:tcW w:w="1149"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合计　</w:t>
            </w:r>
          </w:p>
        </w:tc>
        <w:tc>
          <w:tcPr>
            <w:tcW w:w="2268"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859" w:type="dxa"/>
            <w:gridSpan w:val="4"/>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r>
              <w:rPr>
                <w:rFonts w:hint="eastAsia" w:ascii="仿宋" w:hAnsi="仿宋" w:eastAsia="仿宋"/>
                <w:b/>
                <w:kern w:val="0"/>
                <w:sz w:val="22"/>
                <w:szCs w:val="22"/>
              </w:rPr>
              <w:t>1059.78</w:t>
            </w:r>
          </w:p>
        </w:tc>
        <w:tc>
          <w:tcPr>
            <w:tcW w:w="1719" w:type="dxa"/>
            <w:gridSpan w:val="4"/>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1236.66</w:t>
            </w:r>
          </w:p>
        </w:tc>
        <w:tc>
          <w:tcPr>
            <w:tcW w:w="180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rPr>
            </w:pPr>
            <w:r>
              <w:rPr>
                <w:rFonts w:hint="eastAsia" w:ascii="仿宋" w:hAnsi="仿宋" w:eastAsia="仿宋"/>
                <w:kern w:val="0"/>
                <w:sz w:val="24"/>
              </w:rPr>
              <w:t>1076.67</w:t>
            </w:r>
          </w:p>
        </w:tc>
        <w:tc>
          <w:tcPr>
            <w:tcW w:w="1843" w:type="dxa"/>
            <w:gridSpan w:val="3"/>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160　</w:t>
            </w: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　178.89</w:t>
            </w:r>
          </w:p>
        </w:tc>
        <w:tc>
          <w:tcPr>
            <w:tcW w:w="1552"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16.88%　</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5"/>
            <w:tcBorders>
              <w:top w:val="nil"/>
              <w:left w:val="nil"/>
              <w:bottom w:val="nil"/>
              <w:right w:val="nil"/>
            </w:tcBorders>
            <w:shd w:val="clear" w:color="auto" w:fill="auto"/>
            <w:vAlign w:val="center"/>
          </w:tcPr>
          <w:p>
            <w:pPr>
              <w:rPr>
                <w:rFonts w:ascii="黑体" w:hAnsi="黑体" w:eastAsia="黑体"/>
                <w:kern w:val="0"/>
                <w:sz w:val="32"/>
                <w:szCs w:val="32"/>
              </w:rPr>
            </w:pPr>
            <w:r>
              <w:rPr>
                <w:rFonts w:hint="eastAsia" w:ascii="黑体" w:hAnsi="黑体" w:eastAsia="黑体"/>
                <w:kern w:val="0"/>
                <w:sz w:val="32"/>
                <w:szCs w:val="32"/>
              </w:rPr>
              <w:t>四、一般公共预算财政拨款支出部门经济分类科目表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5"/>
            <w:tcBorders>
              <w:top w:val="nil"/>
              <w:left w:val="nil"/>
              <w:bottom w:val="nil"/>
              <w:right w:val="nil"/>
            </w:tcBorders>
            <w:shd w:val="clear" w:color="auto" w:fill="auto"/>
            <w:vAlign w:val="center"/>
          </w:tcPr>
          <w:p>
            <w:pPr>
              <w:jc w:val="center"/>
              <w:rPr>
                <w:rFonts w:ascii="宋体" w:hAnsi="宋体" w:cs="宋体"/>
                <w:color w:val="000000"/>
                <w:kern w:val="0"/>
                <w:sz w:val="22"/>
                <w:szCs w:val="22"/>
              </w:rPr>
            </w:pPr>
            <w:r>
              <w:rPr>
                <w:rFonts w:hint="eastAsia" w:ascii="仿宋" w:hAnsi="仿宋" w:eastAsia="仿宋"/>
                <w:b/>
                <w:kern w:val="0"/>
                <w:sz w:val="32"/>
                <w:szCs w:val="32"/>
              </w:rPr>
              <w:t>一般公共预算基本支出和项目支出部门经济分类科目表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670"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398" w:type="dxa"/>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pPr>
              <w:jc w:val="center"/>
              <w:rPr>
                <w:rFonts w:ascii="宋体" w:hAns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2"/>
          <w:wAfter w:w="219" w:type="dxa"/>
          <w:trHeight w:val="435" w:hRule="atLeast"/>
        </w:trPr>
        <w:tc>
          <w:tcPr>
            <w:tcW w:w="469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部门经济分类科目</w:t>
            </w:r>
          </w:p>
        </w:tc>
        <w:tc>
          <w:tcPr>
            <w:tcW w:w="8930" w:type="dxa"/>
            <w:gridSpan w:val="18"/>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一般公共预算财政拨款支出</w:t>
            </w:r>
          </w:p>
        </w:tc>
      </w:tr>
      <w:tr>
        <w:tblPrEx>
          <w:tblLayout w:type="fixed"/>
          <w:tblCellMar>
            <w:top w:w="0" w:type="dxa"/>
            <w:left w:w="108" w:type="dxa"/>
            <w:bottom w:w="0" w:type="dxa"/>
            <w:right w:w="108" w:type="dxa"/>
          </w:tblCellMar>
        </w:tblPrEx>
        <w:trPr>
          <w:gridAfter w:val="2"/>
          <w:wAfter w:w="219" w:type="dxa"/>
          <w:trHeight w:val="435" w:hRule="atLeast"/>
        </w:trPr>
        <w:tc>
          <w:tcPr>
            <w:tcW w:w="100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3685" w:type="dxa"/>
            <w:gridSpan w:val="6"/>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276"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2018年预算安排总计</w:t>
            </w:r>
          </w:p>
        </w:tc>
        <w:tc>
          <w:tcPr>
            <w:tcW w:w="5191" w:type="dxa"/>
            <w:gridSpan w:val="1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2463"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108" w:type="dxa"/>
            <w:bottom w:w="0" w:type="dxa"/>
            <w:right w:w="108" w:type="dxa"/>
          </w:tblCellMar>
        </w:tblPrEx>
        <w:trPr>
          <w:gridAfter w:val="2"/>
          <w:wAfter w:w="219" w:type="dxa"/>
          <w:trHeight w:val="435" w:hRule="atLeast"/>
        </w:trPr>
        <w:tc>
          <w:tcPr>
            <w:tcW w:w="1008"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3685" w:type="dxa"/>
            <w:gridSpan w:val="6"/>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276"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小计</w:t>
            </w:r>
          </w:p>
        </w:tc>
        <w:tc>
          <w:tcPr>
            <w:tcW w:w="170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人员支出</w:t>
            </w:r>
          </w:p>
        </w:tc>
        <w:tc>
          <w:tcPr>
            <w:tcW w:w="1931" w:type="dxa"/>
            <w:gridSpan w:val="4"/>
            <w:tcBorders>
              <w:top w:val="nil"/>
              <w:left w:val="nil"/>
              <w:bottom w:val="single" w:color="auto" w:sz="4" w:space="0"/>
              <w:right w:val="single" w:color="auto" w:sz="4" w:space="0"/>
            </w:tcBorders>
            <w:shd w:val="clear" w:color="auto" w:fill="auto"/>
            <w:vAlign w:val="center"/>
          </w:tcPr>
          <w:p>
            <w:pPr>
              <w:jc w:val="center"/>
              <w:rPr>
                <w:rFonts w:ascii="仿宋" w:hAnsi="仿宋" w:eastAsia="仿宋"/>
                <w:b/>
                <w:kern w:val="0"/>
                <w:sz w:val="22"/>
                <w:szCs w:val="22"/>
              </w:rPr>
            </w:pPr>
            <w:r>
              <w:rPr>
                <w:rFonts w:hint="eastAsia" w:ascii="仿宋" w:hAnsi="仿宋" w:eastAsia="仿宋"/>
                <w:b/>
                <w:kern w:val="0"/>
                <w:sz w:val="22"/>
                <w:szCs w:val="22"/>
              </w:rPr>
              <w:t>日常公用支出</w:t>
            </w:r>
          </w:p>
        </w:tc>
        <w:tc>
          <w:tcPr>
            <w:tcW w:w="2463"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30101</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基本工资</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222.57</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4"/>
              </w:rPr>
              <w:t>222.57</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4"/>
              </w:rPr>
              <w:t>222.57</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30102</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津贴补贴</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345.99</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4"/>
              </w:rPr>
              <w:t>345.99</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4"/>
              </w:rPr>
              <w:t>345.99</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ind w:firstLine="116" w:firstLineChars="48"/>
              <w:rPr>
                <w:rFonts w:ascii="仿宋" w:hAnsi="仿宋" w:eastAsia="仿宋"/>
                <w:b/>
                <w:kern w:val="0"/>
                <w:sz w:val="24"/>
              </w:rPr>
            </w:pPr>
            <w:r>
              <w:rPr>
                <w:rFonts w:hint="eastAsia" w:ascii="仿宋" w:hAnsi="仿宋" w:eastAsia="仿宋"/>
                <w:b/>
                <w:kern w:val="0"/>
                <w:sz w:val="24"/>
              </w:rPr>
              <w:t>30103</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奖金</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18.55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18.55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18.55</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30108</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机关事业单位基本养老保险缴费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100.4</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100.4</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100.4</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30109</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职业年金缴费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30110</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城镇职工基本医疗保险缴费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40.16</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30111</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公务员医疗补助</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17.11</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17.11</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17.11</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30112</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其他社会保障缴费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5.93</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5.93</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5.93</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30113</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住房公积金</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62.98</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62.98</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62.98</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30199</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其他工资福利支出</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121.37</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121.37</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121.37</w:t>
            </w: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30201</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办公费</w:t>
            </w:r>
          </w:p>
        </w:tc>
        <w:tc>
          <w:tcPr>
            <w:tcW w:w="1276"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4"/>
                <w:lang w:eastAsia="zh-CN"/>
              </w:rPr>
            </w:pPr>
            <w:r>
              <w:rPr>
                <w:rFonts w:hint="eastAsia" w:ascii="仿宋" w:hAnsi="仿宋" w:eastAsia="仿宋"/>
                <w:kern w:val="0"/>
                <w:sz w:val="24"/>
                <w:lang w:val="en-US" w:eastAsia="zh-CN"/>
              </w:rPr>
              <w:t>58</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10</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10</w:t>
            </w:r>
          </w:p>
        </w:tc>
        <w:tc>
          <w:tcPr>
            <w:tcW w:w="2463"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4"/>
                <w:lang w:val="en-US" w:eastAsia="zh-CN"/>
              </w:rPr>
            </w:pPr>
            <w:r>
              <w:rPr>
                <w:rFonts w:hint="eastAsia" w:ascii="仿宋" w:hAnsi="仿宋" w:eastAsia="仿宋"/>
                <w:kern w:val="0"/>
                <w:sz w:val="24"/>
                <w:lang w:val="en-US" w:eastAsia="zh-CN"/>
              </w:rPr>
              <w:t>48</w:t>
            </w: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30202</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印刷费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1.2</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30205</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水费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0.5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0.5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0.5</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30206</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电费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30207</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邮费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1.5</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30211</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差旅费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30213</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维修费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4</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30216</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4"/>
              </w:rPr>
            </w:pPr>
            <w:r>
              <w:rPr>
                <w:rFonts w:hint="eastAsia" w:ascii="仿宋" w:hAnsi="仿宋" w:eastAsia="仿宋"/>
                <w:b/>
                <w:kern w:val="0"/>
                <w:sz w:val="24"/>
              </w:rPr>
              <w:t>培训费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4"/>
              </w:rPr>
            </w:pPr>
            <w:r>
              <w:rPr>
                <w:rFonts w:hint="eastAsia" w:ascii="仿宋" w:hAnsi="仿宋" w:eastAsia="仿宋"/>
                <w:kern w:val="0"/>
                <w:sz w:val="24"/>
              </w:rPr>
              <w:t>5</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30217</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公务接待费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1.39</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1.39</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1.39</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30226</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劳务费</w:t>
            </w:r>
          </w:p>
        </w:tc>
        <w:tc>
          <w:tcPr>
            <w:tcW w:w="1276"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2"/>
                <w:szCs w:val="22"/>
                <w:lang w:eastAsia="zh-CN"/>
              </w:rPr>
            </w:pPr>
            <w:r>
              <w:rPr>
                <w:rFonts w:hint="eastAsia" w:ascii="仿宋" w:hAnsi="仿宋" w:eastAsia="仿宋"/>
                <w:kern w:val="0"/>
                <w:sz w:val="22"/>
                <w:szCs w:val="22"/>
                <w:lang w:val="en-US" w:eastAsia="zh-CN"/>
              </w:rPr>
              <w:t>27.61</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7.61</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7.61</w:t>
            </w:r>
          </w:p>
        </w:tc>
        <w:tc>
          <w:tcPr>
            <w:tcW w:w="2463"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20</w:t>
            </w: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30228</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工会经费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3</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3</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3</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30227</w:t>
            </w:r>
          </w:p>
        </w:tc>
        <w:tc>
          <w:tcPr>
            <w:tcW w:w="3685" w:type="dxa"/>
            <w:gridSpan w:val="6"/>
            <w:tcBorders>
              <w:top w:val="nil"/>
              <w:left w:val="nil"/>
              <w:bottom w:val="single" w:color="auto" w:sz="4" w:space="0"/>
              <w:right w:val="single" w:color="auto" w:sz="4" w:space="0"/>
            </w:tcBorders>
            <w:shd w:val="clear" w:color="auto" w:fill="auto"/>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eastAsia="zh-CN"/>
              </w:rPr>
              <w:t>委托业务费</w:t>
            </w:r>
          </w:p>
        </w:tc>
        <w:tc>
          <w:tcPr>
            <w:tcW w:w="1276"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10</w:t>
            </w:r>
          </w:p>
        </w:tc>
        <w:tc>
          <w:tcPr>
            <w:tcW w:w="1559" w:type="dxa"/>
            <w:gridSpan w:val="4"/>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0</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hint="eastAsia" w:ascii="仿宋" w:hAnsi="仿宋" w:eastAsia="仿宋"/>
                <w:kern w:val="0"/>
                <w:sz w:val="22"/>
                <w:szCs w:val="22"/>
                <w:lang w:val="en-US" w:eastAsia="zh-CN"/>
              </w:rPr>
            </w:pPr>
            <w:r>
              <w:rPr>
                <w:rFonts w:hint="eastAsia" w:ascii="仿宋" w:hAnsi="仿宋" w:eastAsia="仿宋"/>
                <w:kern w:val="0"/>
                <w:sz w:val="22"/>
                <w:szCs w:val="22"/>
                <w:lang w:val="en-US" w:eastAsia="zh-CN"/>
              </w:rPr>
              <w:t>0</w:t>
            </w:r>
          </w:p>
        </w:tc>
        <w:tc>
          <w:tcPr>
            <w:tcW w:w="2463"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10</w:t>
            </w: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30231</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公务用车运行维护费</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18.3</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18.3</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18.3</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30239</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其他交通费用</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29.55</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29.55</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29.55</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30299</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其他商品和服务支出</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13</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30305</w:t>
            </w: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生活补助</w:t>
            </w:r>
          </w:p>
        </w:tc>
        <w:tc>
          <w:tcPr>
            <w:tcW w:w="1276"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0.9</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0.9</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kern w:val="0"/>
                <w:sz w:val="22"/>
                <w:szCs w:val="22"/>
              </w:rPr>
            </w:pPr>
            <w:r>
              <w:rPr>
                <w:rFonts w:hint="eastAsia" w:ascii="仿宋" w:hAnsi="仿宋" w:eastAsia="仿宋"/>
                <w:kern w:val="0"/>
                <w:sz w:val="22"/>
                <w:szCs w:val="22"/>
              </w:rPr>
              <w:t>0.9</w:t>
            </w:r>
          </w:p>
        </w:tc>
        <w:tc>
          <w:tcPr>
            <w:tcW w:w="2463" w:type="dxa"/>
            <w:gridSpan w:val="3"/>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008" w:type="dxa"/>
            <w:tcBorders>
              <w:top w:val="nil"/>
              <w:left w:val="single" w:color="auto" w:sz="4" w:space="0"/>
              <w:bottom w:val="single" w:color="auto" w:sz="4" w:space="0"/>
              <w:right w:val="single" w:color="auto" w:sz="4" w:space="0"/>
            </w:tcBorders>
            <w:shd w:val="clear" w:color="auto" w:fill="auto"/>
          </w:tcPr>
          <w:p>
            <w:pPr>
              <w:jc w:val="center"/>
              <w:rPr>
                <w:rFonts w:ascii="仿宋" w:hAnsi="仿宋" w:eastAsia="仿宋"/>
                <w:b/>
                <w:kern w:val="0"/>
                <w:sz w:val="22"/>
                <w:szCs w:val="22"/>
              </w:rPr>
            </w:pPr>
          </w:p>
        </w:tc>
        <w:tc>
          <w:tcPr>
            <w:tcW w:w="3685" w:type="dxa"/>
            <w:gridSpan w:val="6"/>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合计</w:t>
            </w:r>
          </w:p>
        </w:tc>
        <w:tc>
          <w:tcPr>
            <w:tcW w:w="1276"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b/>
                <w:kern w:val="0"/>
                <w:sz w:val="22"/>
                <w:szCs w:val="22"/>
                <w:lang w:eastAsia="zh-CN"/>
              </w:rPr>
            </w:pPr>
            <w:r>
              <w:rPr>
                <w:rFonts w:hint="eastAsia" w:ascii="仿宋" w:hAnsi="仿宋" w:eastAsia="仿宋"/>
                <w:b/>
                <w:kern w:val="0"/>
                <w:sz w:val="22"/>
                <w:szCs w:val="22"/>
                <w:lang w:val="en-US" w:eastAsia="zh-CN"/>
              </w:rPr>
              <w:t>1154.67</w:t>
            </w:r>
          </w:p>
        </w:tc>
        <w:tc>
          <w:tcPr>
            <w:tcW w:w="1559"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1076.67</w:t>
            </w:r>
          </w:p>
        </w:tc>
        <w:tc>
          <w:tcPr>
            <w:tcW w:w="170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p>
        </w:tc>
        <w:tc>
          <w:tcPr>
            <w:tcW w:w="1931" w:type="dxa"/>
            <w:gridSpan w:val="4"/>
            <w:tcBorders>
              <w:top w:val="nil"/>
              <w:left w:val="nil"/>
              <w:bottom w:val="single" w:color="auto" w:sz="4" w:space="0"/>
              <w:right w:val="single" w:color="auto" w:sz="4" w:space="0"/>
            </w:tcBorders>
            <w:shd w:val="clear" w:color="auto" w:fill="auto"/>
          </w:tcPr>
          <w:p>
            <w:pPr>
              <w:jc w:val="center"/>
              <w:rPr>
                <w:rFonts w:ascii="仿宋" w:hAnsi="仿宋" w:eastAsia="仿宋"/>
                <w:b/>
                <w:kern w:val="0"/>
                <w:sz w:val="22"/>
                <w:szCs w:val="22"/>
              </w:rPr>
            </w:pPr>
            <w:r>
              <w:rPr>
                <w:rFonts w:hint="eastAsia" w:ascii="仿宋" w:hAnsi="仿宋" w:eastAsia="仿宋"/>
                <w:b/>
                <w:kern w:val="0"/>
                <w:sz w:val="22"/>
                <w:szCs w:val="22"/>
              </w:rPr>
              <w:t>1076.67</w:t>
            </w:r>
          </w:p>
        </w:tc>
        <w:tc>
          <w:tcPr>
            <w:tcW w:w="2463" w:type="dxa"/>
            <w:gridSpan w:val="3"/>
            <w:tcBorders>
              <w:top w:val="nil"/>
              <w:left w:val="nil"/>
              <w:bottom w:val="single" w:color="auto" w:sz="4" w:space="0"/>
              <w:right w:val="single" w:color="auto" w:sz="4" w:space="0"/>
            </w:tcBorders>
            <w:shd w:val="clear" w:color="auto" w:fill="auto"/>
          </w:tcPr>
          <w:p>
            <w:pPr>
              <w:jc w:val="center"/>
              <w:rPr>
                <w:rFonts w:hint="eastAsia" w:ascii="仿宋" w:hAnsi="仿宋" w:eastAsia="仿宋"/>
                <w:b/>
                <w:kern w:val="0"/>
                <w:sz w:val="22"/>
                <w:szCs w:val="22"/>
                <w:lang w:val="en-US" w:eastAsia="zh-CN"/>
              </w:rPr>
            </w:pPr>
            <w:r>
              <w:rPr>
                <w:rFonts w:hint="eastAsia" w:ascii="仿宋" w:hAnsi="仿宋" w:eastAsia="仿宋"/>
                <w:b/>
                <w:kern w:val="0"/>
                <w:sz w:val="22"/>
                <w:szCs w:val="22"/>
                <w:lang w:val="en-US" w:eastAsia="zh-CN"/>
              </w:rPr>
              <w:t>78</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5"/>
            <w:tcBorders>
              <w:top w:val="nil"/>
              <w:left w:val="nil"/>
              <w:bottom w:val="nil"/>
              <w:right w:val="nil"/>
            </w:tcBorders>
            <w:shd w:val="clear" w:color="auto" w:fill="auto"/>
            <w:vAlign w:val="center"/>
          </w:tcPr>
          <w:p>
            <w:pPr>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tc>
        <w:tc>
          <w:tcPr>
            <w:tcW w:w="202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045"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104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2"/>
                <w:szCs w:val="22"/>
              </w:rPr>
            </w:pPr>
          </w:p>
        </w:tc>
        <w:tc>
          <w:tcPr>
            <w:tcW w:w="2023" w:type="dxa"/>
            <w:gridSpan w:val="5"/>
            <w:tcBorders>
              <w:top w:val="nil"/>
              <w:left w:val="nil"/>
              <w:bottom w:val="nil"/>
              <w:right w:val="nil"/>
            </w:tcBorders>
            <w:shd w:val="clear" w:color="auto" w:fill="auto"/>
            <w:vAlign w:val="center"/>
          </w:tcPr>
          <w:p>
            <w:pPr>
              <w:widowControl/>
              <w:jc w:val="center"/>
              <w:rPr>
                <w:rFonts w:ascii="宋体" w:hAnsi="宋体" w:cs="宋体"/>
                <w:color w:val="000000"/>
                <w:kern w:val="0"/>
                <w:sz w:val="22"/>
                <w:szCs w:val="22"/>
              </w:rPr>
            </w:pPr>
          </w:p>
        </w:tc>
        <w:tc>
          <w:tcPr>
            <w:tcW w:w="5464" w:type="dxa"/>
            <w:gridSpan w:val="9"/>
            <w:tcBorders>
              <w:top w:val="nil"/>
              <w:left w:val="nil"/>
              <w:bottom w:val="nil"/>
              <w:right w:val="nil"/>
            </w:tcBorders>
            <w:shd w:val="clear" w:color="auto" w:fill="auto"/>
            <w:vAlign w:val="center"/>
          </w:tcPr>
          <w:p>
            <w:pPr>
              <w:jc w:val="center"/>
              <w:rPr>
                <w:rFonts w:ascii="宋体" w:hAnsi="宋体" w:cs="宋体"/>
                <w:color w:val="000000"/>
                <w:kern w:val="0"/>
                <w:sz w:val="22"/>
                <w:szCs w:val="22"/>
              </w:rPr>
            </w:pPr>
          </w:p>
        </w:tc>
      </w:tr>
    </w:tbl>
    <w:p>
      <w:pPr>
        <w:rPr>
          <w:rFonts w:ascii="黑体" w:hAnsi="黑体" w:eastAsia="黑体"/>
          <w:kern w:val="0"/>
          <w:sz w:val="24"/>
        </w:rPr>
      </w:pPr>
      <w:r>
        <w:rPr>
          <w:rFonts w:hint="eastAsia" w:ascii="黑体" w:hAnsi="黑体" w:eastAsia="黑体"/>
          <w:kern w:val="0"/>
          <w:sz w:val="32"/>
          <w:szCs w:val="32"/>
        </w:rPr>
        <w:t>五、一般公共预算“三公”经费支出表</w:t>
      </w:r>
    </w:p>
    <w:p>
      <w:pPr>
        <w:widowControl/>
        <w:ind w:firstLine="723" w:firstLineChars="200"/>
        <w:jc w:val="center"/>
        <w:outlineLvl w:val="1"/>
        <w:rPr>
          <w:rFonts w:ascii="仿宋" w:hAnsi="仿宋" w:eastAsia="仿宋"/>
          <w:b/>
          <w:kern w:val="0"/>
          <w:sz w:val="36"/>
          <w:szCs w:val="36"/>
        </w:rPr>
      </w:pPr>
      <w:r>
        <w:rPr>
          <w:rFonts w:hint="eastAsia" w:ascii="仿宋" w:hAnsi="仿宋" w:eastAsia="仿宋"/>
          <w:b/>
          <w:kern w:val="0"/>
          <w:sz w:val="36"/>
          <w:szCs w:val="36"/>
        </w:rPr>
        <w:t>一般公共预算“三公”经费支出表</w:t>
      </w:r>
    </w:p>
    <w:p>
      <w:pPr>
        <w:widowControl/>
        <w:ind w:firstLine="735"/>
        <w:jc w:val="left"/>
        <w:outlineLvl w:val="1"/>
        <w:rPr>
          <w:rFonts w:ascii="仿宋" w:hAnsi="仿宋" w:eastAsia="仿宋"/>
          <w:kern w:val="0"/>
          <w:sz w:val="32"/>
          <w:szCs w:val="32"/>
        </w:rPr>
      </w:pPr>
      <w:r>
        <w:rPr>
          <w:rFonts w:hint="eastAsia" w:ascii="仿宋" w:hAnsi="仿宋" w:eastAsia="仿宋"/>
          <w:kern w:val="0"/>
          <w:sz w:val="32"/>
          <w:szCs w:val="32"/>
        </w:rPr>
        <w:t xml:space="preserve">                                                                   单位：万元</w:t>
      </w:r>
    </w:p>
    <w:tbl>
      <w:tblPr>
        <w:tblStyle w:val="6"/>
        <w:tblW w:w="14685" w:type="dxa"/>
        <w:tblInd w:w="91" w:type="dxa"/>
        <w:tblLayout w:type="fixed"/>
        <w:tblCellMar>
          <w:top w:w="0" w:type="dxa"/>
          <w:left w:w="108" w:type="dxa"/>
          <w:bottom w:w="0" w:type="dxa"/>
          <w:right w:w="108" w:type="dxa"/>
        </w:tblCellMar>
      </w:tblPr>
      <w:tblGrid>
        <w:gridCol w:w="800"/>
        <w:gridCol w:w="879"/>
        <w:gridCol w:w="800"/>
        <w:gridCol w:w="800"/>
        <w:gridCol w:w="800"/>
        <w:gridCol w:w="800"/>
        <w:gridCol w:w="816"/>
        <w:gridCol w:w="879"/>
        <w:gridCol w:w="800"/>
        <w:gridCol w:w="800"/>
        <w:gridCol w:w="816"/>
        <w:gridCol w:w="800"/>
        <w:gridCol w:w="816"/>
        <w:gridCol w:w="879"/>
        <w:gridCol w:w="800"/>
        <w:gridCol w:w="800"/>
        <w:gridCol w:w="800"/>
        <w:gridCol w:w="800"/>
      </w:tblGrid>
      <w:tr>
        <w:tblPrEx>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2017年预算数</w:t>
            </w:r>
          </w:p>
        </w:tc>
        <w:tc>
          <w:tcPr>
            <w:tcW w:w="49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2017年执行数</w:t>
            </w:r>
          </w:p>
        </w:tc>
        <w:tc>
          <w:tcPr>
            <w:tcW w:w="4895"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2018年预算数</w:t>
            </w:r>
          </w:p>
        </w:tc>
      </w:tr>
      <w:tr>
        <w:tblPrEx>
          <w:tblLayout w:type="fixed"/>
          <w:tblCellMar>
            <w:top w:w="0" w:type="dxa"/>
            <w:left w:w="108" w:type="dxa"/>
            <w:bottom w:w="0" w:type="dxa"/>
            <w:right w:w="108" w:type="dxa"/>
          </w:tblCellMar>
        </w:tblPrEx>
        <w:trPr>
          <w:trHeight w:val="1170" w:hRule="atLeast"/>
        </w:trPr>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r>
      <w:tr>
        <w:tblPrEx>
          <w:tblLayout w:type="fixed"/>
          <w:tblCellMar>
            <w:top w:w="0" w:type="dxa"/>
            <w:left w:w="108" w:type="dxa"/>
            <w:bottom w:w="0" w:type="dxa"/>
            <w:right w:w="108" w:type="dxa"/>
          </w:tblCellMar>
        </w:tblPrEx>
        <w:trPr>
          <w:trHeight w:val="493"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35</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33</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12.97</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11.38</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1.59</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19.69</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18.3</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18.3</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1.39</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bl>
    <w:p>
      <w:pPr>
        <w:rPr>
          <w:rFonts w:ascii="黑体" w:hAnsi="黑体" w:eastAsia="黑体"/>
          <w:kern w:val="0"/>
          <w:sz w:val="32"/>
          <w:szCs w:val="32"/>
        </w:rPr>
      </w:pPr>
      <w:r>
        <w:rPr>
          <w:rFonts w:hint="eastAsia" w:ascii="黑体" w:hAnsi="黑体" w:eastAsia="黑体"/>
          <w:kern w:val="0"/>
          <w:sz w:val="32"/>
          <w:szCs w:val="32"/>
        </w:rPr>
        <w:t>六、政府性基金预算支出明细表</w:t>
      </w:r>
    </w:p>
    <w:p>
      <w:pPr>
        <w:jc w:val="center"/>
        <w:rPr>
          <w:rFonts w:ascii="仿宋" w:hAnsi="仿宋" w:eastAsia="仿宋"/>
          <w:kern w:val="0"/>
          <w:sz w:val="24"/>
        </w:rPr>
      </w:pPr>
      <w:r>
        <w:rPr>
          <w:rFonts w:hint="eastAsia" w:ascii="仿宋" w:hAnsi="仿宋" w:eastAsia="仿宋"/>
          <w:b/>
          <w:kern w:val="0"/>
          <w:sz w:val="36"/>
          <w:szCs w:val="36"/>
        </w:rPr>
        <w:t>政府性基金预算支出明细表</w:t>
      </w:r>
    </w:p>
    <w:p>
      <w:pPr>
        <w:rPr>
          <w:rFonts w:ascii="仿宋" w:hAnsi="仿宋" w:eastAsia="仿宋"/>
          <w:kern w:val="0"/>
          <w:sz w:val="28"/>
          <w:szCs w:val="28"/>
        </w:rPr>
      </w:pPr>
      <w:r>
        <w:rPr>
          <w:rFonts w:hint="eastAsia" w:ascii="仿宋" w:hAnsi="宋体" w:eastAsia="仿宋"/>
          <w:b/>
          <w:kern w:val="0"/>
          <w:sz w:val="36"/>
          <w:szCs w:val="36"/>
        </w:rPr>
        <w:t>                       </w:t>
      </w:r>
      <w:r>
        <w:rPr>
          <w:rFonts w:hint="eastAsia" w:ascii="仿宋" w:hAnsi="仿宋" w:eastAsia="仿宋"/>
          <w:b/>
          <w:kern w:val="0"/>
          <w:sz w:val="36"/>
          <w:szCs w:val="36"/>
        </w:rPr>
        <w:t xml:space="preserve">               </w:t>
      </w:r>
      <w:r>
        <w:rPr>
          <w:rFonts w:hint="eastAsia" w:ascii="仿宋" w:hAnsi="仿宋" w:eastAsia="仿宋"/>
          <w:b/>
          <w:kern w:val="0"/>
          <w:sz w:val="28"/>
          <w:szCs w:val="28"/>
        </w:rPr>
        <w:t xml:space="preserve"> </w:t>
      </w:r>
      <w:r>
        <w:rPr>
          <w:rFonts w:hint="eastAsia" w:ascii="仿宋" w:hAnsi="仿宋" w:eastAsia="仿宋"/>
          <w:kern w:val="0"/>
          <w:sz w:val="28"/>
          <w:szCs w:val="28"/>
        </w:rPr>
        <w:t>单位：万元</w:t>
      </w:r>
    </w:p>
    <w:tbl>
      <w:tblPr>
        <w:tblStyle w:val="6"/>
        <w:tblW w:w="15157" w:type="dxa"/>
        <w:tblInd w:w="-832" w:type="dxa"/>
        <w:tblLayout w:type="fixed"/>
        <w:tblCellMar>
          <w:top w:w="0" w:type="dxa"/>
          <w:left w:w="0" w:type="dxa"/>
          <w:bottom w:w="0" w:type="dxa"/>
          <w:right w:w="0" w:type="dxa"/>
        </w:tblCellMar>
      </w:tblPr>
      <w:tblGrid>
        <w:gridCol w:w="1003"/>
        <w:gridCol w:w="1134"/>
        <w:gridCol w:w="1134"/>
        <w:gridCol w:w="992"/>
        <w:gridCol w:w="992"/>
        <w:gridCol w:w="992"/>
        <w:gridCol w:w="993"/>
        <w:gridCol w:w="992"/>
        <w:gridCol w:w="992"/>
        <w:gridCol w:w="992"/>
        <w:gridCol w:w="993"/>
        <w:gridCol w:w="992"/>
        <w:gridCol w:w="992"/>
        <w:gridCol w:w="982"/>
        <w:gridCol w:w="982"/>
      </w:tblGrid>
      <w:tr>
        <w:tblPrEx>
          <w:tblLayout w:type="fixed"/>
          <w:tblCellMar>
            <w:top w:w="0" w:type="dxa"/>
            <w:left w:w="0" w:type="dxa"/>
            <w:bottom w:w="0" w:type="dxa"/>
            <w:right w:w="0" w:type="dxa"/>
          </w:tblCellMar>
        </w:tblPrEx>
        <w:trPr>
          <w:trHeight w:val="450" w:hRule="atLeast"/>
        </w:trPr>
        <w:tc>
          <w:tcPr>
            <w:tcW w:w="213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功能分类科目</w:t>
            </w:r>
          </w:p>
        </w:tc>
        <w:tc>
          <w:tcPr>
            <w:tcW w:w="1134" w:type="dxa"/>
            <w:vMerge w:val="restart"/>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kern w:val="0"/>
                <w:sz w:val="24"/>
              </w:rPr>
            </w:pPr>
            <w:r>
              <w:rPr>
                <w:rFonts w:hint="eastAsia" w:ascii="仿宋" w:hAnsi="仿宋" w:eastAsia="仿宋"/>
                <w:b/>
                <w:kern w:val="0"/>
                <w:sz w:val="22"/>
                <w:szCs w:val="22"/>
              </w:rPr>
              <w:t>2018年预算安排总计</w:t>
            </w:r>
          </w:p>
        </w:tc>
        <w:tc>
          <w:tcPr>
            <w:tcW w:w="1090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982" w:type="dxa"/>
            <w:vMerge w:val="restart"/>
            <w:tcBorders>
              <w:top w:val="single" w:color="000000" w:sz="8" w:space="0"/>
              <w:left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2"/>
                <w:szCs w:val="22"/>
              </w:rPr>
              <w:t>科目编码</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科目名称</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小计</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工资福利支出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商品和服务支出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对个人和家庭的补助</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债务利息及费用支出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资本性支出（基本建设）</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对企业补助（基本建设）</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对企业补助</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对社会保障基金补助</w:t>
            </w:r>
          </w:p>
        </w:tc>
        <w:tc>
          <w:tcPr>
            <w:tcW w:w="982" w:type="dxa"/>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其他支出</w:t>
            </w:r>
          </w:p>
        </w:tc>
        <w:tc>
          <w:tcPr>
            <w:tcW w:w="982" w:type="dxa"/>
            <w:vMerge w:val="continue"/>
            <w:tcBorders>
              <w:left w:val="single" w:color="auto" w:sz="4" w:space="0"/>
              <w:bottom w:val="single" w:color="000000" w:sz="8" w:space="0"/>
              <w:right w:val="single" w:color="auto" w:sz="4" w:space="0"/>
            </w:tcBorders>
          </w:tcPr>
          <w:p>
            <w:pPr>
              <w:jc w:val="center"/>
              <w:rPr>
                <w:rFonts w:ascii="仿宋" w:hAnsi="仿宋" w:eastAsia="仿宋"/>
                <w:b/>
                <w:kern w:val="0"/>
                <w:sz w:val="22"/>
                <w:szCs w:val="22"/>
              </w:rPr>
            </w:pPr>
          </w:p>
        </w:tc>
      </w:tr>
      <w:tr>
        <w:tblPrEx>
          <w:tblLayout w:type="fixed"/>
          <w:tblCellMar>
            <w:top w:w="0" w:type="dxa"/>
            <w:left w:w="0" w:type="dxa"/>
            <w:bottom w:w="0" w:type="dxa"/>
            <w:right w:w="0" w:type="dxa"/>
          </w:tblCellMar>
        </w:tblPrEx>
        <w:trPr>
          <w:trHeight w:val="564"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66"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30"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bl>
    <w:p>
      <w:pPr>
        <w:rPr>
          <w:rFonts w:ascii="仿宋" w:hAnsi="仿宋" w:eastAsia="仿宋"/>
          <w:b/>
          <w:kern w:val="0"/>
          <w:sz w:val="32"/>
          <w:szCs w:val="32"/>
        </w:rPr>
      </w:pPr>
    </w:p>
    <w:p>
      <w:pPr>
        <w:rPr>
          <w:rFonts w:ascii="仿宋" w:hAnsi="仿宋" w:eastAsia="仿宋"/>
          <w:kern w:val="0"/>
          <w:sz w:val="32"/>
          <w:szCs w:val="32"/>
        </w:rPr>
      </w:pPr>
      <w:r>
        <w:rPr>
          <w:rFonts w:hint="eastAsia" w:ascii="仿宋" w:hAnsi="仿宋" w:eastAsia="仿宋"/>
          <w:kern w:val="0"/>
          <w:sz w:val="32"/>
          <w:szCs w:val="32"/>
        </w:rPr>
        <w:t>注：基本支出预算经济分类科目各单位根据本单位实际据实填写。</w:t>
      </w:r>
    </w:p>
    <w:p>
      <w:pPr>
        <w:rPr>
          <w:rFonts w:ascii="黑体" w:hAnsi="黑体" w:eastAsia="黑体"/>
          <w:kern w:val="0"/>
          <w:sz w:val="24"/>
        </w:rPr>
      </w:pPr>
      <w:r>
        <w:rPr>
          <w:rFonts w:hint="eastAsia" w:ascii="黑体" w:hAnsi="黑体" w:eastAsia="黑体"/>
          <w:kern w:val="0"/>
          <w:sz w:val="32"/>
          <w:szCs w:val="32"/>
        </w:rPr>
        <w:t>七、部门收支预算总表</w:t>
      </w:r>
    </w:p>
    <w:p>
      <w:pPr>
        <w:jc w:val="center"/>
        <w:rPr>
          <w:rFonts w:ascii="仿宋" w:hAnsi="仿宋" w:eastAsia="仿宋"/>
          <w:kern w:val="0"/>
          <w:sz w:val="24"/>
        </w:rPr>
      </w:pPr>
      <w:r>
        <w:rPr>
          <w:rFonts w:hint="eastAsia" w:ascii="仿宋" w:hAnsi="仿宋" w:eastAsia="仿宋"/>
          <w:b/>
          <w:kern w:val="0"/>
          <w:sz w:val="36"/>
          <w:szCs w:val="36"/>
        </w:rPr>
        <w:t>部门收支预算总表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160" w:type="dxa"/>
        <w:tblInd w:w="0" w:type="dxa"/>
        <w:tblLayout w:type="fixed"/>
        <w:tblCellMar>
          <w:top w:w="0" w:type="dxa"/>
          <w:left w:w="0" w:type="dxa"/>
          <w:bottom w:w="0" w:type="dxa"/>
          <w:right w:w="0" w:type="dxa"/>
        </w:tblCellMar>
      </w:tblPr>
      <w:tblGrid>
        <w:gridCol w:w="3852"/>
        <w:gridCol w:w="1364"/>
        <w:gridCol w:w="3852"/>
        <w:gridCol w:w="1364"/>
        <w:gridCol w:w="1364"/>
        <w:gridCol w:w="1364"/>
      </w:tblGrid>
      <w:tr>
        <w:tblPrEx>
          <w:tblLayout w:type="fixed"/>
          <w:tblCellMar>
            <w:top w:w="0" w:type="dxa"/>
            <w:left w:w="0" w:type="dxa"/>
            <w:bottom w:w="0" w:type="dxa"/>
            <w:right w:w="0" w:type="dxa"/>
          </w:tblCellMar>
        </w:tblPrEx>
        <w:trPr>
          <w:trHeight w:val="450"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项</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1236.66</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38"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5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（三）事业收入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（四）事业单位经营收入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975.86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975.86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5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（五）其他收入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4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140.56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140.56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57.27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57.27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收</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18"/>
                <w:szCs w:val="18"/>
              </w:rPr>
            </w:pPr>
            <w:r>
              <w:rPr>
                <w:rFonts w:hint="eastAsia" w:ascii="仿宋" w:hAnsi="仿宋" w:eastAsia="仿宋"/>
                <w:b/>
                <w:color w:val="000000"/>
                <w:kern w:val="0"/>
                <w:sz w:val="22"/>
                <w:szCs w:val="22"/>
              </w:rPr>
              <w:t>支</w:t>
            </w:r>
            <w:r>
              <w:rPr>
                <w:rFonts w:hint="eastAsia"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rPr>
          <w:trHeight w:val="453" w:hRule="atLeast"/>
        </w:trPr>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   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rPr>
          <w:trHeight w:val="453" w:hRule="atLeast"/>
        </w:trPr>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（十六)金融支出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62.98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kern w:val="0"/>
                <w:sz w:val="24"/>
              </w:rPr>
              <w:t>62.98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nil"/>
              <w:left w:val="nil"/>
              <w:bottom w:val="nil"/>
              <w:right w:val="nil"/>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支出总计</w:t>
            </w:r>
            <w:r>
              <w:rPr>
                <w:rFonts w:hint="eastAsia" w:ascii="仿宋" w:hAnsi="仿宋" w:eastAsia="仿宋"/>
                <w:kern w:val="0"/>
                <w:sz w:val="24"/>
              </w:rPr>
              <w:t>1236.66</w:t>
            </w:r>
          </w:p>
        </w:tc>
      </w:tr>
    </w:tbl>
    <w:p>
      <w:pPr>
        <w:rPr>
          <w:rFonts w:ascii="仿宋" w:hAnsi="仿宋" w:eastAsia="仿宋"/>
          <w:b/>
          <w:kern w:val="0"/>
          <w:sz w:val="32"/>
          <w:szCs w:val="32"/>
        </w:rPr>
      </w:pPr>
    </w:p>
    <w:p>
      <w:pPr>
        <w:rPr>
          <w:rFonts w:ascii="仿宋" w:hAnsi="仿宋" w:eastAsia="仿宋"/>
          <w:kern w:val="0"/>
          <w:sz w:val="32"/>
          <w:szCs w:val="32"/>
        </w:rPr>
      </w:pPr>
      <w:r>
        <w:rPr>
          <w:rFonts w:hint="eastAsia" w:ascii="仿宋" w:hAnsi="仿宋" w:eastAsia="仿宋"/>
          <w:kern w:val="0"/>
          <w:sz w:val="32"/>
          <w:szCs w:val="32"/>
        </w:rPr>
        <w:t>注：支出预算功能科目各单位根据本单位实际据实填写，其他科目删除。</w:t>
      </w:r>
    </w:p>
    <w:p>
      <w:pPr>
        <w:rPr>
          <w:rFonts w:ascii="黑体" w:hAnsi="黑体" w:eastAsia="黑体"/>
          <w:kern w:val="0"/>
          <w:sz w:val="24"/>
        </w:rPr>
      </w:pPr>
      <w:r>
        <w:rPr>
          <w:rFonts w:hint="eastAsia" w:ascii="黑体" w:hAnsi="黑体" w:eastAsia="黑体"/>
          <w:kern w:val="0"/>
          <w:sz w:val="32"/>
          <w:szCs w:val="32"/>
        </w:rPr>
        <w:t>八、部门收入总表</w:t>
      </w:r>
    </w:p>
    <w:p>
      <w:pPr>
        <w:jc w:val="center"/>
        <w:rPr>
          <w:rFonts w:ascii="仿宋" w:hAnsi="仿宋" w:eastAsia="仿宋"/>
          <w:kern w:val="0"/>
          <w:sz w:val="32"/>
          <w:szCs w:val="32"/>
        </w:rPr>
      </w:pPr>
      <w:r>
        <w:rPr>
          <w:rFonts w:hint="eastAsia" w:ascii="仿宋" w:hAnsi="仿宋" w:eastAsia="仿宋"/>
          <w:b/>
          <w:kern w:val="0"/>
          <w:sz w:val="32"/>
          <w:szCs w:val="32"/>
        </w:rPr>
        <w:t>部门收入总表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870" w:type="dxa"/>
        <w:tblInd w:w="0" w:type="dxa"/>
        <w:tblLayout w:type="fixed"/>
        <w:tblCellMar>
          <w:top w:w="0" w:type="dxa"/>
          <w:left w:w="0" w:type="dxa"/>
          <w:bottom w:w="0" w:type="dxa"/>
          <w:right w:w="0" w:type="dxa"/>
        </w:tblCellMar>
      </w:tblPr>
      <w:tblGrid>
        <w:gridCol w:w="1003"/>
        <w:gridCol w:w="2409"/>
        <w:gridCol w:w="993"/>
        <w:gridCol w:w="1134"/>
        <w:gridCol w:w="1134"/>
        <w:gridCol w:w="1134"/>
        <w:gridCol w:w="992"/>
        <w:gridCol w:w="1134"/>
        <w:gridCol w:w="1134"/>
        <w:gridCol w:w="992"/>
        <w:gridCol w:w="709"/>
        <w:gridCol w:w="1102"/>
      </w:tblGrid>
      <w:tr>
        <w:tblPrEx>
          <w:tblLayout w:type="fixed"/>
          <w:tblCellMar>
            <w:top w:w="0" w:type="dxa"/>
            <w:left w:w="0" w:type="dxa"/>
            <w:bottom w:w="0" w:type="dxa"/>
            <w:right w:w="0" w:type="dxa"/>
          </w:tblCellMar>
        </w:tblPrEx>
        <w:trPr>
          <w:trHeight w:val="450" w:hRule="atLeast"/>
        </w:trPr>
        <w:tc>
          <w:tcPr>
            <w:tcW w:w="341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功能分类科目</w:t>
            </w:r>
          </w:p>
        </w:tc>
        <w:tc>
          <w:tcPr>
            <w:tcW w:w="993"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合计</w:t>
            </w:r>
          </w:p>
        </w:tc>
        <w:tc>
          <w:tcPr>
            <w:tcW w:w="340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财政拨款收入</w:t>
            </w:r>
          </w:p>
        </w:tc>
        <w:tc>
          <w:tcPr>
            <w:tcW w:w="99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事业收入</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事业单位经营收入</w:t>
            </w:r>
          </w:p>
        </w:tc>
        <w:tc>
          <w:tcPr>
            <w:tcW w:w="1134"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上级补助收入</w:t>
            </w:r>
          </w:p>
        </w:tc>
        <w:tc>
          <w:tcPr>
            <w:tcW w:w="99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下级单位上缴收入</w:t>
            </w:r>
          </w:p>
        </w:tc>
        <w:tc>
          <w:tcPr>
            <w:tcW w:w="709"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其他收入</w:t>
            </w:r>
          </w:p>
        </w:tc>
        <w:tc>
          <w:tcPr>
            <w:tcW w:w="1102"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用事业基金弥补收支差额</w:t>
            </w:r>
          </w:p>
        </w:tc>
      </w:tr>
      <w:tr>
        <w:tblPrEx>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科目编码</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科目名称</w:t>
            </w:r>
          </w:p>
        </w:tc>
        <w:tc>
          <w:tcPr>
            <w:tcW w:w="993"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小计</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公共财政预算拨款收入</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政府性基金预算拨款收入</w:t>
            </w: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709"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02"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27" w:hRule="atLeast"/>
        </w:trPr>
        <w:tc>
          <w:tcPr>
            <w:tcW w:w="100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2040604</w:t>
            </w:r>
          </w:p>
        </w:tc>
        <w:tc>
          <w:tcPr>
            <w:tcW w:w="240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基层司法业务</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0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4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2040601</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行政运行</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r>
      <w:tr>
        <w:tblPrEx>
          <w:tblLayout w:type="fixed"/>
          <w:tblCellMar>
            <w:top w:w="0" w:type="dxa"/>
            <w:left w:w="0" w:type="dxa"/>
            <w:bottom w:w="0" w:type="dxa"/>
            <w:right w:w="0" w:type="dxa"/>
          </w:tblCellMar>
        </w:tblPrEx>
        <w:trPr>
          <w:trHeight w:val="438"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2040602</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一般行政管理事务</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r>
      <w:tr>
        <w:tblPrEx>
          <w:tblLayout w:type="fixed"/>
          <w:tblCellMar>
            <w:top w:w="0" w:type="dxa"/>
            <w:left w:w="0" w:type="dxa"/>
            <w:bottom w:w="0" w:type="dxa"/>
            <w:right w:w="0" w:type="dxa"/>
          </w:tblCellMar>
        </w:tblPrEx>
        <w:trPr>
          <w:trHeight w:val="444"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2040607</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法律援助</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2040605</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普法宣传</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2210201</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住房公积金</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2080506</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机关事业单位职业年金缴费支出</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2101101</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行政单位医疗</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6"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2080505</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机关事业单位基本养老保险缴费支出</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9"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2101103</w:t>
            </w: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公务员医疗补助</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9"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合计</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709"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0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黑体" w:hAnsi="黑体" w:eastAsia="黑体"/>
          <w:kern w:val="0"/>
          <w:sz w:val="24"/>
        </w:rPr>
      </w:pPr>
      <w:r>
        <w:rPr>
          <w:rFonts w:hint="eastAsia" w:ascii="黑体" w:hAnsi="黑体" w:eastAsia="黑体"/>
          <w:kern w:val="0"/>
          <w:sz w:val="32"/>
          <w:szCs w:val="32"/>
        </w:rPr>
        <w:t>九、部门支出总表</w:t>
      </w:r>
    </w:p>
    <w:p>
      <w:pPr>
        <w:jc w:val="center"/>
        <w:rPr>
          <w:rFonts w:ascii="仿宋" w:hAnsi="仿宋" w:eastAsia="仿宋"/>
          <w:b/>
          <w:kern w:val="0"/>
          <w:sz w:val="32"/>
          <w:szCs w:val="32"/>
        </w:rPr>
      </w:pPr>
      <w:r>
        <w:rPr>
          <w:rFonts w:hint="eastAsia" w:ascii="仿宋" w:hAnsi="仿宋" w:eastAsia="仿宋"/>
          <w:b/>
          <w:kern w:val="0"/>
          <w:sz w:val="32"/>
          <w:szCs w:val="32"/>
        </w:rPr>
        <w:t>部门支出总表</w:t>
      </w:r>
    </w:p>
    <w:p>
      <w:pPr>
        <w:rPr>
          <w:rFonts w:ascii="仿宋" w:hAnsi="仿宋" w:eastAsia="仿宋"/>
          <w:kern w:val="0"/>
          <w:sz w:val="28"/>
          <w:szCs w:val="28"/>
        </w:rPr>
      </w:pPr>
      <w:r>
        <w:rPr>
          <w:rFonts w:hint="eastAsia" w:ascii="仿宋" w:hAnsi="宋体" w:eastAsia="仿宋"/>
          <w:kern w:val="0"/>
          <w:sz w:val="32"/>
          <w:szCs w:val="32"/>
        </w:rPr>
        <w:t>                          </w:t>
      </w:r>
      <w:r>
        <w:rPr>
          <w:rFonts w:hint="eastAsia" w:ascii="仿宋" w:hAnsi="仿宋" w:eastAsia="仿宋"/>
          <w:kern w:val="0"/>
          <w:sz w:val="32"/>
          <w:szCs w:val="32"/>
        </w:rPr>
        <w:t xml:space="preserve">              </w:t>
      </w:r>
      <w:r>
        <w:rPr>
          <w:rFonts w:hint="eastAsia" w:ascii="仿宋" w:hAnsi="仿宋" w:eastAsia="仿宋"/>
          <w:kern w:val="0"/>
          <w:sz w:val="28"/>
          <w:szCs w:val="28"/>
        </w:rPr>
        <w:t xml:space="preserve"> 单位：万元</w:t>
      </w:r>
    </w:p>
    <w:tbl>
      <w:tblPr>
        <w:tblStyle w:val="6"/>
        <w:tblW w:w="13150" w:type="dxa"/>
        <w:tblInd w:w="0" w:type="dxa"/>
        <w:tblLayout w:type="fixed"/>
        <w:tblCellMar>
          <w:top w:w="0" w:type="dxa"/>
          <w:left w:w="0" w:type="dxa"/>
          <w:bottom w:w="0" w:type="dxa"/>
          <w:right w:w="0" w:type="dxa"/>
        </w:tblCellMar>
      </w:tblPr>
      <w:tblGrid>
        <w:gridCol w:w="1185"/>
        <w:gridCol w:w="2835"/>
        <w:gridCol w:w="1740"/>
        <w:gridCol w:w="1740"/>
        <w:gridCol w:w="1510"/>
        <w:gridCol w:w="1440"/>
        <w:gridCol w:w="1440"/>
        <w:gridCol w:w="1260"/>
      </w:tblGrid>
      <w:tr>
        <w:tblPrEx>
          <w:tblLayout w:type="fixed"/>
          <w:tblCellMar>
            <w:top w:w="0" w:type="dxa"/>
            <w:left w:w="0" w:type="dxa"/>
            <w:bottom w:w="0" w:type="dxa"/>
            <w:right w:w="0" w:type="dxa"/>
          </w:tblCellMar>
        </w:tblPrEx>
        <w:trPr>
          <w:trHeight w:val="444" w:hRule="atLeast"/>
        </w:trPr>
        <w:tc>
          <w:tcPr>
            <w:tcW w:w="40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功能分类科目</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合计</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基本支出</w:t>
            </w:r>
          </w:p>
        </w:tc>
        <w:tc>
          <w:tcPr>
            <w:tcW w:w="151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项目支出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上缴上级支出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事业单位经营支出</w:t>
            </w:r>
          </w:p>
        </w:tc>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对下级单位补助支出</w:t>
            </w:r>
          </w:p>
        </w:tc>
      </w:tr>
      <w:tr>
        <w:tblPrEx>
          <w:tblLayout w:type="fixed"/>
          <w:tblCellMar>
            <w:top w:w="0" w:type="dxa"/>
            <w:left w:w="0" w:type="dxa"/>
            <w:bottom w:w="0" w:type="dxa"/>
            <w:right w:w="0" w:type="dxa"/>
          </w:tblCellMar>
        </w:tblPrEx>
        <w:trPr>
          <w:trHeight w:val="450"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科目编码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科目名称</w:t>
            </w: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51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2040604</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4"/>
              </w:rPr>
              <w:t>基层司法业务</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2040601</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行政运行</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815.86</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2040602</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一般行政管理事务</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81</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3"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2040607</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法律援助</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45</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2"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2040605</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普法宣传</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29</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5"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2210201</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住房公积金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62.98</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2080506</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机关事业单位职业年金缴费支出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2101101</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行政单位医疗</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40.16</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2080505</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机关事业单位基本养老保险缴费支出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100.4</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2101103</w:t>
            </w: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公务员医疗补助</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17.11</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2835"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合计</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1236.66</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1076.67</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kern w:val="0"/>
                <w:sz w:val="24"/>
              </w:rPr>
              <w:t>160</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仿宋" w:hAnsi="仿宋" w:eastAsia="仿宋"/>
        </w:rPr>
      </w:pPr>
    </w:p>
    <w:p>
      <w:pPr>
        <w:ind w:firstLine="716" w:firstLineChars="224"/>
        <w:rPr>
          <w:rFonts w:ascii="仿宋" w:hAnsi="仿宋" w:eastAsia="仿宋"/>
          <w:kern w:val="0"/>
          <w:sz w:val="32"/>
          <w:szCs w:val="32"/>
        </w:rPr>
        <w:sectPr>
          <w:pgSz w:w="16838" w:h="11906" w:orient="landscape"/>
          <w:pgMar w:top="1418" w:right="1418" w:bottom="1418" w:left="1701" w:header="851" w:footer="992" w:gutter="0"/>
          <w:cols w:space="720" w:num="1"/>
          <w:docGrid w:type="lines" w:linePitch="312" w:charSpace="0"/>
        </w:sect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司法局2018年部门预算——部门预算情况说明</w:t>
      </w:r>
    </w:p>
    <w:p>
      <w:pPr>
        <w:rPr>
          <w:rFonts w:ascii="仿宋" w:hAnsi="仿宋" w:eastAsia="仿宋"/>
          <w:sz w:val="32"/>
          <w:szCs w:val="32"/>
        </w:rPr>
      </w:pPr>
    </w:p>
    <w:p>
      <w:pPr>
        <w:ind w:firstLine="720" w:firstLineChars="225"/>
        <w:rPr>
          <w:rFonts w:ascii="黑体" w:hAnsi="黑体" w:eastAsia="黑体"/>
          <w:sz w:val="32"/>
          <w:szCs w:val="32"/>
        </w:rPr>
      </w:pPr>
      <w:r>
        <w:rPr>
          <w:rFonts w:hint="eastAsia" w:ascii="黑体" w:hAnsi="黑体" w:eastAsia="黑体"/>
          <w:sz w:val="32"/>
          <w:szCs w:val="32"/>
        </w:rPr>
        <w:t>一、关于司法局2018年财政拨款收支预算情况的总体说明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司法局2018年财政拨款收支总预算1154.66万元。收入预算包括：一般公共预算拨款1154.66万元</w:t>
      </w:r>
      <w:r>
        <w:rPr>
          <w:rFonts w:hint="eastAsia" w:ascii="仿宋" w:hAnsi="仿宋" w:eastAsia="仿宋"/>
          <w:sz w:val="32"/>
          <w:szCs w:val="32"/>
          <w:lang w:val="en-US" w:eastAsia="zh-CN"/>
        </w:rPr>
        <w:t>,占总收入100%。</w:t>
      </w:r>
      <w:r>
        <w:rPr>
          <w:rFonts w:hint="eastAsia" w:ascii="仿宋" w:hAnsi="仿宋" w:eastAsia="仿宋"/>
          <w:sz w:val="32"/>
          <w:szCs w:val="32"/>
        </w:rPr>
        <w:t>支出预算包括：公共安全支出893.86万元</w:t>
      </w:r>
      <w:r>
        <w:rPr>
          <w:rFonts w:hint="eastAsia" w:ascii="仿宋" w:hAnsi="仿宋" w:eastAsia="仿宋"/>
          <w:sz w:val="32"/>
          <w:szCs w:val="32"/>
          <w:lang w:eastAsia="zh-CN"/>
        </w:rPr>
        <w:t>，占总支出</w:t>
      </w:r>
      <w:r>
        <w:rPr>
          <w:rFonts w:hint="eastAsia" w:ascii="仿宋" w:hAnsi="仿宋" w:eastAsia="仿宋"/>
          <w:sz w:val="32"/>
          <w:szCs w:val="32"/>
          <w:lang w:val="en-US" w:eastAsia="zh-CN"/>
        </w:rPr>
        <w:t>77.41%；</w:t>
      </w:r>
      <w:r>
        <w:rPr>
          <w:rFonts w:hint="eastAsia" w:ascii="仿宋" w:hAnsi="仿宋" w:eastAsia="仿宋"/>
          <w:sz w:val="32"/>
          <w:szCs w:val="32"/>
        </w:rPr>
        <w:t>社会保障和就业支出140.56万元</w:t>
      </w:r>
      <w:r>
        <w:rPr>
          <w:rFonts w:hint="eastAsia" w:ascii="仿宋" w:hAnsi="仿宋" w:eastAsia="仿宋"/>
          <w:sz w:val="32"/>
          <w:szCs w:val="32"/>
          <w:lang w:eastAsia="zh-CN"/>
        </w:rPr>
        <w:t>，占总支出</w:t>
      </w:r>
      <w:r>
        <w:rPr>
          <w:rFonts w:hint="eastAsia" w:ascii="仿宋" w:hAnsi="仿宋" w:eastAsia="仿宋"/>
          <w:sz w:val="32"/>
          <w:szCs w:val="32"/>
          <w:lang w:val="en-US" w:eastAsia="zh-CN"/>
        </w:rPr>
        <w:t>12.17：%</w:t>
      </w:r>
      <w:r>
        <w:rPr>
          <w:rFonts w:hint="eastAsia" w:ascii="仿宋" w:hAnsi="仿宋" w:eastAsia="仿宋"/>
          <w:sz w:val="32"/>
          <w:szCs w:val="32"/>
        </w:rPr>
        <w:t>医疗卫生与计划生育支出57.27万元</w:t>
      </w:r>
      <w:r>
        <w:rPr>
          <w:rFonts w:hint="eastAsia" w:ascii="仿宋" w:hAnsi="仿宋" w:eastAsia="仿宋"/>
          <w:sz w:val="32"/>
          <w:szCs w:val="32"/>
          <w:lang w:eastAsia="zh-CN"/>
        </w:rPr>
        <w:t>，占总支出</w:t>
      </w:r>
      <w:r>
        <w:rPr>
          <w:rFonts w:hint="eastAsia" w:ascii="仿宋" w:hAnsi="仿宋" w:eastAsia="仿宋"/>
          <w:sz w:val="32"/>
          <w:szCs w:val="32"/>
          <w:lang w:val="en-US" w:eastAsia="zh-CN"/>
        </w:rPr>
        <w:t>4.96%：</w:t>
      </w:r>
      <w:r>
        <w:rPr>
          <w:rFonts w:hint="eastAsia" w:ascii="仿宋" w:hAnsi="仿宋" w:eastAsia="仿宋"/>
          <w:sz w:val="32"/>
          <w:szCs w:val="32"/>
        </w:rPr>
        <w:t>住房保障支出62.98万元</w:t>
      </w:r>
      <w:r>
        <w:rPr>
          <w:rFonts w:hint="eastAsia" w:ascii="仿宋" w:hAnsi="仿宋" w:eastAsia="仿宋"/>
          <w:sz w:val="32"/>
          <w:szCs w:val="32"/>
          <w:lang w:eastAsia="zh-CN"/>
        </w:rPr>
        <w:t>，占总支出</w:t>
      </w:r>
      <w:r>
        <w:rPr>
          <w:rFonts w:hint="eastAsia" w:ascii="仿宋" w:hAnsi="仿宋" w:eastAsia="仿宋"/>
          <w:sz w:val="32"/>
          <w:szCs w:val="32"/>
          <w:lang w:val="en-US" w:eastAsia="zh-CN"/>
        </w:rPr>
        <w:t>5.45%。</w:t>
      </w:r>
    </w:p>
    <w:p>
      <w:pPr>
        <w:ind w:firstLine="720" w:firstLineChars="225"/>
        <w:rPr>
          <w:rFonts w:ascii="黑体" w:hAnsi="黑体" w:eastAsia="黑体"/>
          <w:sz w:val="32"/>
          <w:szCs w:val="32"/>
        </w:rPr>
      </w:pPr>
      <w:r>
        <w:rPr>
          <w:rFonts w:hint="eastAsia" w:ascii="黑体" w:hAnsi="黑体" w:eastAsia="黑体"/>
          <w:sz w:val="32"/>
          <w:szCs w:val="32"/>
        </w:rPr>
        <w:t>二、关于司法局2018年一般公共预算拨款情况说明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rPr>
        <w:t>司法局2018年一般公共预算拨款基本支出1076.67万元，比2017年执行数据743.66元相比增加333.01元，增长44.78%。其中：</w:t>
      </w:r>
    </w:p>
    <w:p>
      <w:pPr>
        <w:ind w:firstLine="640" w:firstLineChars="200"/>
        <w:rPr>
          <w:rFonts w:hint="eastAsia" w:ascii="仿宋" w:hAnsi="仿宋" w:eastAsia="仿宋"/>
          <w:sz w:val="32"/>
          <w:szCs w:val="32"/>
        </w:rPr>
      </w:pPr>
      <w:r>
        <w:rPr>
          <w:rFonts w:hint="eastAsia" w:ascii="仿宋" w:hAnsi="仿宋" w:eastAsia="仿宋"/>
          <w:sz w:val="32"/>
          <w:szCs w:val="32"/>
        </w:rPr>
        <w:t>人员经费975.21万元，主要包括：基本工资222.57万元、津贴补贴345.98万元、奖金18.55万元、社会保障缴费5.93万元</w:t>
      </w:r>
      <w:r>
        <w:rPr>
          <w:rFonts w:hint="eastAsia" w:ascii="仿宋" w:hAnsi="仿宋" w:eastAsia="仿宋"/>
          <w:sz w:val="32"/>
          <w:szCs w:val="32"/>
          <w:lang w:eastAsia="zh-CN"/>
        </w:rPr>
        <w:t>、</w:t>
      </w:r>
      <w:r>
        <w:rPr>
          <w:rFonts w:hint="eastAsia" w:ascii="仿宋" w:hAnsi="仿宋" w:eastAsia="仿宋"/>
          <w:sz w:val="32"/>
          <w:szCs w:val="32"/>
        </w:rPr>
        <w:t>伙食补助费</w:t>
      </w:r>
      <w:r>
        <w:rPr>
          <w:rFonts w:hint="eastAsia" w:ascii="仿宋" w:hAnsi="仿宋" w:eastAsia="仿宋"/>
          <w:sz w:val="32"/>
          <w:szCs w:val="32"/>
          <w:lang w:val="en-US" w:eastAsia="zh-CN"/>
        </w:rPr>
        <w:t>0万元、</w:t>
      </w:r>
      <w:r>
        <w:rPr>
          <w:rFonts w:hint="eastAsia" w:ascii="仿宋" w:hAnsi="仿宋" w:eastAsia="仿宋"/>
          <w:sz w:val="32"/>
          <w:szCs w:val="32"/>
        </w:rPr>
        <w:t>其他工资福利支出121.37万元</w:t>
      </w:r>
      <w:r>
        <w:rPr>
          <w:rFonts w:hint="eastAsia" w:ascii="仿宋" w:hAnsi="仿宋" w:eastAsia="仿宋"/>
          <w:sz w:val="32"/>
          <w:szCs w:val="32"/>
          <w:lang w:eastAsia="zh-CN"/>
        </w:rPr>
        <w:t>、</w:t>
      </w:r>
      <w:r>
        <w:rPr>
          <w:rFonts w:hint="eastAsia" w:ascii="仿宋" w:hAnsi="仿宋" w:eastAsia="仿宋"/>
          <w:sz w:val="32"/>
          <w:szCs w:val="32"/>
        </w:rPr>
        <w:t>离休费</w:t>
      </w:r>
      <w:r>
        <w:rPr>
          <w:rFonts w:hint="eastAsia" w:ascii="仿宋" w:hAnsi="仿宋" w:eastAsia="仿宋"/>
          <w:sz w:val="32"/>
          <w:szCs w:val="32"/>
          <w:lang w:val="en-US" w:eastAsia="zh-CN"/>
        </w:rPr>
        <w:t>0万元</w:t>
      </w:r>
      <w:r>
        <w:rPr>
          <w:rFonts w:hint="eastAsia" w:ascii="仿宋" w:hAnsi="仿宋" w:eastAsia="仿宋"/>
          <w:sz w:val="32"/>
          <w:szCs w:val="32"/>
        </w:rPr>
        <w:t>、退休费</w:t>
      </w:r>
      <w:r>
        <w:rPr>
          <w:rFonts w:hint="eastAsia" w:ascii="仿宋" w:hAnsi="仿宋" w:eastAsia="仿宋"/>
          <w:sz w:val="32"/>
          <w:szCs w:val="32"/>
          <w:lang w:val="en-US" w:eastAsia="zh-CN"/>
        </w:rPr>
        <w:t>0万元</w:t>
      </w:r>
      <w:r>
        <w:rPr>
          <w:rFonts w:hint="eastAsia" w:ascii="仿宋" w:hAnsi="仿宋" w:eastAsia="仿宋"/>
          <w:sz w:val="32"/>
          <w:szCs w:val="32"/>
        </w:rPr>
        <w:t>、抚恤金</w:t>
      </w:r>
      <w:r>
        <w:rPr>
          <w:rFonts w:hint="eastAsia" w:ascii="仿宋" w:hAnsi="仿宋" w:eastAsia="仿宋"/>
          <w:sz w:val="32"/>
          <w:szCs w:val="32"/>
          <w:lang w:val="en-US" w:eastAsia="zh-CN"/>
        </w:rPr>
        <w:t>0万元</w:t>
      </w:r>
      <w:r>
        <w:rPr>
          <w:rFonts w:hint="eastAsia" w:ascii="仿宋" w:hAnsi="仿宋" w:eastAsia="仿宋"/>
          <w:sz w:val="32"/>
          <w:szCs w:val="32"/>
        </w:rPr>
        <w:t>、遗属生活补助9000元</w:t>
      </w:r>
      <w:r>
        <w:rPr>
          <w:rFonts w:hint="eastAsia" w:ascii="仿宋" w:hAnsi="仿宋" w:eastAsia="仿宋"/>
          <w:sz w:val="32"/>
          <w:szCs w:val="32"/>
          <w:lang w:eastAsia="zh-CN"/>
        </w:rPr>
        <w:t>、</w:t>
      </w:r>
      <w:r>
        <w:rPr>
          <w:rFonts w:hint="eastAsia" w:ascii="仿宋" w:hAnsi="仿宋" w:eastAsia="仿宋"/>
          <w:sz w:val="32"/>
          <w:szCs w:val="32"/>
        </w:rPr>
        <w:t>机关事业单位基本养老保险缴费100.4万元、职业年金缴费40.16万元、城镇职工基本医疗保险缴费40.16万元、公务员医疗补助17.11万元、住房公积金62.98万元、助学金</w:t>
      </w:r>
      <w:r>
        <w:rPr>
          <w:rFonts w:hint="eastAsia" w:ascii="仿宋" w:hAnsi="仿宋" w:eastAsia="仿宋"/>
          <w:sz w:val="32"/>
          <w:szCs w:val="32"/>
          <w:lang w:val="en-US" w:eastAsia="zh-CN"/>
        </w:rPr>
        <w:t>0万元</w:t>
      </w:r>
      <w:r>
        <w:rPr>
          <w:rFonts w:hint="eastAsia" w:ascii="仿宋" w:hAnsi="仿宋" w:eastAsia="仿宋"/>
          <w:sz w:val="32"/>
          <w:szCs w:val="32"/>
        </w:rPr>
        <w:t>、奖励金</w:t>
      </w:r>
      <w:r>
        <w:rPr>
          <w:rFonts w:hint="eastAsia" w:ascii="仿宋" w:hAnsi="仿宋" w:eastAsia="仿宋"/>
          <w:sz w:val="32"/>
          <w:szCs w:val="32"/>
          <w:lang w:val="en-US" w:eastAsia="zh-CN"/>
        </w:rPr>
        <w:t>0万元</w:t>
      </w:r>
      <w:r>
        <w:rPr>
          <w:rFonts w:hint="eastAsia" w:ascii="仿宋" w:hAnsi="仿宋" w:eastAsia="仿宋"/>
          <w:sz w:val="32"/>
          <w:szCs w:val="32"/>
        </w:rPr>
        <w:t>、提租补贴</w:t>
      </w:r>
      <w:r>
        <w:rPr>
          <w:rFonts w:hint="eastAsia" w:ascii="仿宋" w:hAnsi="仿宋" w:eastAsia="仿宋"/>
          <w:sz w:val="32"/>
          <w:szCs w:val="32"/>
          <w:lang w:val="en-US" w:eastAsia="zh-CN"/>
        </w:rPr>
        <w:t>0万元</w:t>
      </w:r>
      <w:r>
        <w:rPr>
          <w:rFonts w:hint="eastAsia" w:ascii="仿宋" w:hAnsi="仿宋" w:eastAsia="仿宋"/>
          <w:sz w:val="32"/>
          <w:szCs w:val="32"/>
        </w:rPr>
        <w:t>、购房补贴</w:t>
      </w:r>
      <w:r>
        <w:rPr>
          <w:rFonts w:hint="eastAsia" w:ascii="仿宋" w:hAnsi="仿宋" w:eastAsia="仿宋"/>
          <w:sz w:val="32"/>
          <w:szCs w:val="32"/>
          <w:lang w:val="en-US" w:eastAsia="zh-CN"/>
        </w:rPr>
        <w:t>0万元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0万元。</w:t>
      </w:r>
    </w:p>
    <w:p>
      <w:pPr>
        <w:ind w:firstLine="640" w:firstLineChars="200"/>
        <w:rPr>
          <w:rFonts w:ascii="仿宋" w:hAnsi="仿宋" w:eastAsia="仿宋"/>
          <w:sz w:val="32"/>
          <w:szCs w:val="32"/>
        </w:rPr>
      </w:pPr>
      <w:r>
        <w:rPr>
          <w:rFonts w:hint="eastAsia" w:ascii="仿宋" w:hAnsi="仿宋" w:eastAsia="仿宋"/>
          <w:sz w:val="32"/>
          <w:szCs w:val="32"/>
        </w:rPr>
        <w:t>公用经费100.52万元，主要包括：办公费10万元、印刷费1.2万元、咨询费0元、手续费0元、水费0.5万元、电费1.5万元、邮电费1.5万元、取暖费0万元、物业管理费0万元、差旅费4万元、因公出国（境）费0万元、维修（护）费4万元、租赁费0万元、会议费0万元、培训费5万元、公务接待费1.39万元、专用材料费0万元、劳务费7.61万元、委托业务费0万元、工会经费3万元、福利费0万元、公务用车运行维护费18.3万元、其他交通费29.55万元、其他商品和服务支出13万元、办公设备购置0万元、专用设备购置0万元。</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rPr>
        <w:t>司法局2018年一般公共预算拨款项目支出160万元，其中：一般行政管理事务2018年预算81万元，比2017年执行数据减少119.67万元，下降59.63%，主要用于支付人民调解、社区矫正、安置帮教、法律援助等业务的办案经费以及为乡镇司法所购买办公设备的经费支出。</w:t>
      </w:r>
    </w:p>
    <w:p>
      <w:pPr>
        <w:ind w:firstLine="720" w:firstLineChars="225"/>
        <w:rPr>
          <w:rFonts w:ascii="仿宋" w:hAnsi="仿宋" w:eastAsia="仿宋"/>
          <w:sz w:val="32"/>
          <w:szCs w:val="32"/>
        </w:rPr>
      </w:pPr>
      <w:r>
        <w:rPr>
          <w:rFonts w:hint="eastAsia" w:ascii="仿宋" w:hAnsi="仿宋" w:eastAsia="仿宋"/>
          <w:sz w:val="32"/>
          <w:szCs w:val="32"/>
        </w:rPr>
        <w:t>法律援助2018年预算为45万元，比2017年执行数据减少25.72万元，下降36.36%，主要用于支付法律援助案件案件补贴费及法律援助中心律师值班补贴费及法律援助中心日常业务经费。</w:t>
      </w:r>
    </w:p>
    <w:p>
      <w:pPr>
        <w:ind w:firstLine="720" w:firstLineChars="225"/>
        <w:rPr>
          <w:rFonts w:ascii="仿宋" w:hAnsi="仿宋" w:eastAsia="仿宋"/>
          <w:sz w:val="32"/>
          <w:szCs w:val="32"/>
        </w:rPr>
      </w:pPr>
      <w:r>
        <w:rPr>
          <w:rFonts w:hint="eastAsia" w:ascii="仿宋" w:hAnsi="仿宋" w:eastAsia="仿宋"/>
          <w:sz w:val="32"/>
          <w:szCs w:val="32"/>
        </w:rPr>
        <w:t>普法宣传2018年预算29万元，比2017年执行数据增加4.81万元，增长19.88%，主要用于全市2018年普法宣传经费支出。</w:t>
      </w:r>
    </w:p>
    <w:p>
      <w:pPr>
        <w:ind w:firstLine="720" w:firstLineChars="225"/>
        <w:rPr>
          <w:rFonts w:ascii="仿宋" w:hAnsi="仿宋" w:eastAsia="仿宋"/>
          <w:sz w:val="32"/>
          <w:szCs w:val="32"/>
        </w:rPr>
      </w:pPr>
      <w:r>
        <w:rPr>
          <w:rFonts w:hint="eastAsia" w:ascii="仿宋" w:hAnsi="仿宋" w:eastAsia="仿宋"/>
          <w:sz w:val="32"/>
          <w:szCs w:val="32"/>
        </w:rPr>
        <w:t>基层司法业务2018年预算数为5万元，比2017年执行数据减少15.54万元，下降75.66%，主要用于支付2018年人民调解一般案件补贴及聘用乡镇人民调解员生活补贴。</w:t>
      </w:r>
    </w:p>
    <w:p>
      <w:pPr>
        <w:ind w:firstLine="720" w:firstLineChars="225"/>
        <w:rPr>
          <w:rFonts w:ascii="黑体" w:hAnsi="黑体" w:eastAsia="黑体"/>
          <w:sz w:val="32"/>
          <w:szCs w:val="32"/>
        </w:rPr>
      </w:pPr>
      <w:r>
        <w:rPr>
          <w:rFonts w:hint="eastAsia" w:ascii="黑体" w:hAnsi="黑体" w:eastAsia="黑体"/>
          <w:sz w:val="32"/>
          <w:szCs w:val="32"/>
        </w:rPr>
        <w:t>三、关于司法局2018年“三公”经费预算情况说明</w:t>
      </w:r>
    </w:p>
    <w:p>
      <w:pPr>
        <w:ind w:firstLine="720" w:firstLineChars="225"/>
        <w:rPr>
          <w:rFonts w:hint="eastAsia" w:ascii="仿宋" w:hAnsi="仿宋" w:eastAsia="仿宋"/>
          <w:sz w:val="32"/>
          <w:szCs w:val="32"/>
        </w:rPr>
      </w:pPr>
      <w:r>
        <w:rPr>
          <w:rFonts w:hint="eastAsia" w:ascii="仿宋" w:hAnsi="仿宋" w:eastAsia="仿宋"/>
          <w:sz w:val="32"/>
          <w:szCs w:val="32"/>
        </w:rPr>
        <w:t>司法局2018年“三公”经费财政拨款预算数为19.69 万元，其中：因公出国（境）费0万元，公务用车购置0万元，</w:t>
      </w:r>
      <w:r>
        <w:rPr>
          <w:rFonts w:hint="eastAsia" w:ascii="仿宋" w:hAnsi="仿宋" w:eastAsia="仿宋"/>
          <w:sz w:val="32"/>
          <w:szCs w:val="32"/>
          <w:lang w:eastAsia="zh-CN"/>
        </w:rPr>
        <w:t>公务车保有量</w:t>
      </w:r>
      <w:r>
        <w:rPr>
          <w:rFonts w:hint="eastAsia" w:ascii="仿宋" w:hAnsi="仿宋" w:eastAsia="仿宋"/>
          <w:sz w:val="32"/>
          <w:szCs w:val="32"/>
          <w:lang w:val="en-US" w:eastAsia="zh-CN"/>
        </w:rPr>
        <w:t>9辆，</w:t>
      </w:r>
      <w:r>
        <w:rPr>
          <w:rFonts w:hint="eastAsia" w:ascii="仿宋" w:hAnsi="仿宋" w:eastAsia="仿宋"/>
          <w:sz w:val="32"/>
          <w:szCs w:val="32"/>
        </w:rPr>
        <w:t>公务</w:t>
      </w:r>
      <w:bookmarkStart w:id="0" w:name="_GoBack"/>
      <w:bookmarkEnd w:id="0"/>
      <w:r>
        <w:rPr>
          <w:rFonts w:hint="eastAsia" w:ascii="仿宋" w:hAnsi="仿宋" w:eastAsia="仿宋"/>
          <w:sz w:val="32"/>
          <w:szCs w:val="32"/>
        </w:rPr>
        <w:t>车运行费18.3万元，公务接待费1.39 万元</w:t>
      </w:r>
      <w:r>
        <w:rPr>
          <w:rFonts w:hint="eastAsia" w:ascii="仿宋" w:hAnsi="仿宋" w:eastAsia="仿宋"/>
          <w:sz w:val="32"/>
          <w:szCs w:val="32"/>
          <w:lang w:eastAsia="zh-CN"/>
        </w:rPr>
        <w:t>，举办调解员和社区矫正人员培训班</w:t>
      </w:r>
      <w:r>
        <w:rPr>
          <w:rFonts w:hint="eastAsia" w:ascii="仿宋" w:hAnsi="仿宋" w:eastAsia="仿宋"/>
          <w:sz w:val="32"/>
          <w:szCs w:val="32"/>
          <w:lang w:val="en-US" w:eastAsia="zh-CN"/>
        </w:rPr>
        <w:t>10次/2天，80余人。</w:t>
      </w:r>
    </w:p>
    <w:p>
      <w:pPr>
        <w:ind w:firstLine="720" w:firstLineChars="225"/>
        <w:rPr>
          <w:rFonts w:ascii="仿宋" w:hAnsi="仿宋" w:eastAsia="仿宋"/>
          <w:sz w:val="32"/>
          <w:szCs w:val="32"/>
        </w:rPr>
      </w:pPr>
      <w:r>
        <w:rPr>
          <w:rFonts w:hint="eastAsia" w:ascii="仿宋" w:hAnsi="仿宋" w:eastAsia="仿宋"/>
          <w:sz w:val="32"/>
          <w:szCs w:val="32"/>
        </w:rPr>
        <w:t>2018年“三公”经费财政拨款预算比2017年预算数减少15.31万元，其中：公务用车运行费减少14.7万元，主要原因为2017年我局参加公车改革以后，严格执行中央八项规定，合理安排公务用车使用次数；公务接待费减少0.61万元，主要原因为2017年我局严格执行中央八项规定，控制公务接待的次数、人数以及接待标准。</w:t>
      </w:r>
    </w:p>
    <w:p>
      <w:pPr>
        <w:ind w:firstLine="720" w:firstLineChars="225"/>
        <w:rPr>
          <w:rFonts w:ascii="黑体" w:hAnsi="黑体" w:eastAsia="黑体"/>
          <w:sz w:val="32"/>
          <w:szCs w:val="32"/>
        </w:rPr>
      </w:pPr>
      <w:r>
        <w:rPr>
          <w:rFonts w:hint="eastAsia" w:ascii="黑体" w:hAnsi="黑体" w:eastAsia="黑体"/>
          <w:sz w:val="32"/>
          <w:szCs w:val="32"/>
        </w:rPr>
        <w:t>四、关于司法局2018年政府性基金预算拨款情况说明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rPr>
        <w:t>司法局2018年政府性基金预算拨款基本支出0万元, 比2017年执行数据增加（减少）0万元，增长（下降）0，其中：</w:t>
      </w:r>
    </w:p>
    <w:p>
      <w:pPr>
        <w:ind w:firstLine="720" w:firstLineChars="225"/>
        <w:rPr>
          <w:rFonts w:ascii="仿宋" w:hAnsi="仿宋" w:eastAsia="仿宋"/>
          <w:sz w:val="32"/>
          <w:szCs w:val="32"/>
        </w:rPr>
      </w:pPr>
      <w:r>
        <w:rPr>
          <w:rFonts w:hint="eastAsia" w:ascii="仿宋" w:hAnsi="仿宋" w:eastAsia="仿宋"/>
          <w:sz w:val="32"/>
          <w:szCs w:val="32"/>
        </w:rPr>
        <w:t>人员经费0万元，主要包括：基本工资、津贴补贴、奖金、社会保障缴费、伙食补助费、其他工资福利支出、离休费、退休费、抚恤金、生活补助、医疗费、助学金、奖励金、住房公积金、提租补贴、购房补贴、其他对个人和家庭的补助支出；</w:t>
      </w:r>
    </w:p>
    <w:p>
      <w:pPr>
        <w:ind w:firstLine="720" w:firstLineChars="225"/>
        <w:rPr>
          <w:rFonts w:ascii="仿宋" w:hAnsi="仿宋" w:eastAsia="仿宋"/>
          <w:sz w:val="32"/>
          <w:szCs w:val="32"/>
        </w:rPr>
      </w:pPr>
      <w:r>
        <w:rPr>
          <w:rFonts w:hint="eastAsia" w:ascii="仿宋" w:hAnsi="仿宋" w:eastAsia="仿宋"/>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rPr>
        <w:t>司法局2018年政府性基金预算拨款项目支出0万元，其中：按政府收支科目类、款、项，用途分项说明。如：一般公共服务支出（类）财政事务（款）行政运行（项）2018年预算0万元，比2017年执行数据增加（减少）0万元，增长（下降） 0%。</w:t>
      </w:r>
    </w:p>
    <w:p>
      <w:pPr>
        <w:ind w:firstLine="720" w:firstLineChars="225"/>
        <w:rPr>
          <w:rFonts w:ascii="黑体" w:hAnsi="黑体" w:eastAsia="黑体"/>
          <w:sz w:val="32"/>
          <w:szCs w:val="32"/>
        </w:rPr>
      </w:pPr>
      <w:r>
        <w:rPr>
          <w:rFonts w:hint="eastAsia" w:ascii="黑体" w:hAnsi="黑体" w:eastAsia="黑体"/>
          <w:sz w:val="32"/>
          <w:szCs w:val="32"/>
        </w:rPr>
        <w:t>五、关于司法局2018年收支预算情况的总体说明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按照全口径预算的原则，司法局2018年所有收入和支出均纳入部门预算管理。收入总预算1236.66万元，支出总预算    1236.66万元。</w:t>
      </w:r>
    </w:p>
    <w:p>
      <w:pPr>
        <w:ind w:firstLine="720" w:firstLineChars="225"/>
        <w:rPr>
          <w:rFonts w:ascii="仿宋" w:hAnsi="仿宋" w:eastAsia="仿宋"/>
          <w:sz w:val="32"/>
          <w:szCs w:val="32"/>
        </w:rPr>
      </w:pPr>
      <w:r>
        <w:rPr>
          <w:rFonts w:hint="eastAsia" w:ascii="仿宋" w:hAnsi="仿宋" w:eastAsia="仿宋"/>
          <w:sz w:val="32"/>
          <w:szCs w:val="32"/>
        </w:rPr>
        <w:t>收入预算包括：上年结转0万元，占0%；财政拨款收入1236.66万元，占 100 %；事业收入0万元，占0%；事业单位经营收入0万元，占0%；其他收入0万元，占0%。</w:t>
      </w:r>
    </w:p>
    <w:p>
      <w:pPr>
        <w:ind w:firstLine="720" w:firstLineChars="225"/>
        <w:rPr>
          <w:rFonts w:ascii="仿宋" w:hAnsi="仿宋" w:eastAsia="仿宋"/>
          <w:sz w:val="32"/>
          <w:szCs w:val="32"/>
        </w:rPr>
      </w:pPr>
      <w:r>
        <w:rPr>
          <w:rFonts w:hint="eastAsia" w:ascii="仿宋" w:hAnsi="仿宋" w:eastAsia="仿宋"/>
          <w:sz w:val="32"/>
          <w:szCs w:val="32"/>
        </w:rPr>
        <w:t>支出预算包括：基本支出1076.65万元，占87.06 %；项目支出 160万元，占12.94%。事业单位经营支出0万元，占0 %；上缴上级支出0万元，占0%；对附属单位补助支出0万元，占0%。</w:t>
      </w:r>
    </w:p>
    <w:p>
      <w:pPr>
        <w:ind w:firstLine="720" w:firstLineChars="225"/>
        <w:rPr>
          <w:rFonts w:ascii="黑体" w:hAnsi="黑体" w:eastAsia="黑体"/>
          <w:sz w:val="32"/>
          <w:szCs w:val="32"/>
        </w:rPr>
      </w:pPr>
      <w:r>
        <w:rPr>
          <w:rFonts w:hint="eastAsia" w:ascii="黑体" w:hAnsi="黑体" w:eastAsia="黑体"/>
          <w:sz w:val="32"/>
          <w:szCs w:val="32"/>
        </w:rPr>
        <w:t xml:space="preserve">六、其他重要事项的情况说明   </w:t>
      </w:r>
    </w:p>
    <w:p>
      <w:pPr>
        <w:widowControl/>
        <w:spacing w:line="560" w:lineRule="exact"/>
        <w:ind w:firstLine="480"/>
        <w:jc w:val="left"/>
        <w:rPr>
          <w:rFonts w:ascii="楷体" w:hAnsi="楷体" w:eastAsia="楷体" w:cs="宋体"/>
          <w:b/>
          <w:kern w:val="0"/>
          <w:sz w:val="32"/>
          <w:szCs w:val="32"/>
        </w:rPr>
      </w:pPr>
      <w:r>
        <w:rPr>
          <w:rFonts w:hint="eastAsia" w:ascii="仿宋" w:hAnsi="仿宋" w:eastAsia="仿宋"/>
        </w:rPr>
        <w:t xml:space="preserve">  </w:t>
      </w:r>
      <w:r>
        <w:rPr>
          <w:rFonts w:hint="eastAsia" w:ascii="楷体" w:hAnsi="楷体" w:eastAsia="楷体" w:cs="宋体"/>
          <w:b/>
          <w:kern w:val="0"/>
          <w:sz w:val="32"/>
          <w:szCs w:val="32"/>
        </w:rPr>
        <w:t>（一）机关运行经费</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2018年，司法局本级机关运行经费财政拨款预算71.5万元，比2017年预算增加36.5万元，增长104%.</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（二）政府采购情况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2018年，司法局政府采购预算 155万元，其中：政府采购货物预算 100万元，政府采购工程预算40万元，政府采购服务预算 15万元。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（三）国有资产占用使用情况</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截至2017年12月31日，司法局占用使用国有资产总体情况为房屋 3928平方米，价值 278.89万元；车辆9辆，价值54.11万元；办公家具价值 75.69万元；其他资产价值237.98元。国有资产分布情况为：</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本级部门房屋 3928平方米，价值 278.89万元；车辆 9辆，价值 54.11万元；办公家具价值   75.69万元；其他资产价值   237.98万元。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（四）预算绩效情况</w:t>
      </w:r>
    </w:p>
    <w:p>
      <w:pPr>
        <w:widowControl/>
        <w:spacing w:line="560" w:lineRule="exact"/>
        <w:ind w:firstLine="480"/>
        <w:jc w:val="left"/>
        <w:rPr>
          <w:rFonts w:ascii="楷体" w:hAnsi="楷体" w:eastAsia="楷体" w:cs="宋体"/>
          <w:kern w:val="0"/>
          <w:sz w:val="32"/>
          <w:szCs w:val="32"/>
        </w:rPr>
      </w:pPr>
      <w:r>
        <w:rPr>
          <w:rFonts w:hint="eastAsia" w:ascii="楷体" w:hAnsi="楷体" w:eastAsia="楷体" w:cs="宋体"/>
          <w:kern w:val="0"/>
          <w:sz w:val="32"/>
          <w:szCs w:val="32"/>
        </w:rPr>
        <w:t xml:space="preserve"> </w:t>
      </w:r>
      <w:r>
        <w:rPr>
          <w:rFonts w:ascii="楷体" w:hAnsi="楷体" w:eastAsia="楷体" w:cs="宋体"/>
          <w:kern w:val="0"/>
          <w:sz w:val="32"/>
          <w:szCs w:val="32"/>
        </w:rPr>
        <w:t>2018</w:t>
      </w:r>
      <w:r>
        <w:rPr>
          <w:rFonts w:hint="eastAsia" w:ascii="楷体" w:hAnsi="楷体" w:eastAsia="楷体" w:cs="宋体"/>
          <w:kern w:val="0"/>
          <w:sz w:val="32"/>
          <w:szCs w:val="32"/>
        </w:rPr>
        <w:t>年市司法局无重点项目</w:t>
      </w:r>
    </w:p>
    <w:p>
      <w:pPr>
        <w:widowControl/>
        <w:spacing w:line="560" w:lineRule="exact"/>
        <w:ind w:firstLine="639" w:firstLineChars="199"/>
        <w:jc w:val="left"/>
        <w:rPr>
          <w:rFonts w:ascii="楷体" w:hAnsi="楷体" w:eastAsia="楷体" w:cs="宋体"/>
          <w:b/>
          <w:kern w:val="0"/>
          <w:sz w:val="32"/>
          <w:szCs w:val="32"/>
        </w:rPr>
      </w:pPr>
      <w:r>
        <w:rPr>
          <w:rFonts w:hint="eastAsia" w:ascii="楷体" w:hAnsi="楷体" w:eastAsia="楷体" w:cs="宋体"/>
          <w:b/>
          <w:kern w:val="0"/>
          <w:sz w:val="32"/>
          <w:szCs w:val="32"/>
        </w:rPr>
        <w:t>(五)专项转移支付项目申报情况</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司法局本级政法转移支付资金为42万元，其中办案业务经费为25.2万元，装备款为16.8万元。办案业务经费主要用于乡镇司法所人民调解、社区矫正、安置帮教、普法宣传、法律援助等业务开展的工作经费，装备款主要用于为乡镇司法所购买办公设备的专项支出。</w:t>
      </w:r>
    </w:p>
    <w:p>
      <w:pPr>
        <w:widowControl/>
        <w:numPr>
          <w:ilvl w:val="0"/>
          <w:numId w:val="1"/>
        </w:numPr>
        <w:tabs>
          <w:tab w:val="left" w:pos="472"/>
        </w:tabs>
        <w:spacing w:line="560" w:lineRule="exact"/>
        <w:ind w:firstLine="480"/>
        <w:jc w:val="left"/>
        <w:rPr>
          <w:rFonts w:hint="eastAsia" w:ascii="楷体" w:hAnsi="楷体" w:eastAsia="楷体" w:cs="宋体"/>
          <w:b/>
          <w:kern w:val="0"/>
          <w:sz w:val="32"/>
          <w:szCs w:val="32"/>
        </w:rPr>
      </w:pPr>
      <w:r>
        <w:rPr>
          <w:rFonts w:hint="eastAsia" w:ascii="楷体" w:hAnsi="楷体" w:eastAsia="楷体" w:cs="宋体"/>
          <w:b/>
          <w:kern w:val="0"/>
          <w:sz w:val="32"/>
          <w:szCs w:val="32"/>
        </w:rPr>
        <w:t>其他需说明的事项</w:t>
      </w:r>
    </w:p>
    <w:p>
      <w:pPr>
        <w:widowControl/>
        <w:numPr>
          <w:ilvl w:val="0"/>
          <w:numId w:val="0"/>
        </w:numPr>
        <w:spacing w:line="560" w:lineRule="exact"/>
        <w:ind w:firstLine="640" w:firstLineChars="200"/>
        <w:jc w:val="left"/>
        <w:rPr>
          <w:rFonts w:hint="eastAsia" w:ascii="楷体" w:hAnsi="楷体" w:eastAsia="楷体" w:cs="宋体"/>
          <w:b w:val="0"/>
          <w:bCs/>
          <w:kern w:val="0"/>
          <w:sz w:val="32"/>
          <w:szCs w:val="32"/>
          <w:lang w:val="en-US" w:eastAsia="zh-CN"/>
        </w:rPr>
      </w:pPr>
      <w:r>
        <w:rPr>
          <w:rFonts w:hint="eastAsia" w:ascii="楷体" w:hAnsi="楷体" w:eastAsia="楷体" w:cs="宋体"/>
          <w:b w:val="0"/>
          <w:bCs/>
          <w:kern w:val="0"/>
          <w:sz w:val="32"/>
          <w:szCs w:val="32"/>
          <w:lang w:val="en-US" w:eastAsia="zh-CN"/>
        </w:rPr>
        <w:t>2018年司法局无其他说明事项</w:t>
      </w:r>
    </w:p>
    <w:p>
      <w:pPr>
        <w:widowControl/>
        <w:spacing w:line="560" w:lineRule="exact"/>
        <w:ind w:firstLine="1325" w:firstLineChars="300"/>
        <w:jc w:val="both"/>
        <w:rPr>
          <w:rFonts w:asciiTheme="majorEastAsia" w:hAnsiTheme="majorEastAsia" w:eastAsiaTheme="majorEastAsia"/>
          <w:sz w:val="44"/>
          <w:szCs w:val="44"/>
        </w:rPr>
      </w:pPr>
      <w:r>
        <w:rPr>
          <w:rFonts w:hint="eastAsia" w:asciiTheme="majorEastAsia" w:hAnsiTheme="majorEastAsia" w:eastAsiaTheme="majorEastAsia"/>
          <w:b/>
          <w:bCs/>
          <w:sz w:val="44"/>
          <w:szCs w:val="44"/>
        </w:rPr>
        <w:t>司法局2018年部门预算</w:t>
      </w:r>
      <w:r>
        <w:rPr>
          <w:rFonts w:asciiTheme="majorEastAsia" w:hAnsiTheme="majorEastAsia" w:eastAsiaTheme="majorEastAsia"/>
          <w:b/>
          <w:bCs/>
          <w:sz w:val="44"/>
          <w:szCs w:val="44"/>
        </w:rPr>
        <w:t>—</w:t>
      </w:r>
      <w:r>
        <w:rPr>
          <w:rFonts w:hint="eastAsia" w:asciiTheme="majorEastAsia" w:hAnsiTheme="majorEastAsia" w:eastAsiaTheme="majorEastAsia"/>
          <w:b/>
          <w:bCs/>
          <w:sz w:val="44"/>
          <w:szCs w:val="44"/>
        </w:rPr>
        <w:t>名词解释</w:t>
      </w:r>
    </w:p>
    <w:p>
      <w:pPr>
        <w:widowControl/>
        <w:spacing w:line="560" w:lineRule="exact"/>
        <w:ind w:firstLine="321" w:firstLineChars="100"/>
        <w:jc w:val="left"/>
        <w:rPr>
          <w:rFonts w:ascii="宋体" w:hAnsi="宋体" w:eastAsia="仿宋" w:cs="宋体"/>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一般公共预算：</w:t>
      </w:r>
      <w:r>
        <w:rPr>
          <w:rFonts w:hint="eastAsia" w:ascii="仿宋" w:hAnsi="仿宋" w:eastAsia="仿宋"/>
          <w:sz w:val="32"/>
          <w:szCs w:val="32"/>
        </w:rPr>
        <w:t>是对以税收为主体的财政收入，安排用于保障和改善民生、推动经济社会发展、维护国家安全、维持国家机构正常运转等方面的收支预算。一般公共预算收入包括各项税收收入、行政事业性收费收入、国有资源（资产）有偿</w:t>
      </w:r>
      <w:r>
        <w:rPr>
          <w:rFonts w:hint="eastAsia" w:ascii="仿宋" w:hAnsi="仿宋" w:eastAsia="仿宋"/>
          <w:b w:val="0"/>
          <w:bCs/>
          <w:sz w:val="32"/>
          <w:szCs w:val="32"/>
        </w:rPr>
        <w:t>使用收</w:t>
      </w:r>
      <w:r>
        <w:rPr>
          <w:rFonts w:hint="eastAsia" w:ascii="仿宋" w:hAnsi="仿宋" w:eastAsia="仿宋"/>
          <w:sz w:val="32"/>
          <w:szCs w:val="32"/>
        </w:rPr>
        <w:t>入、转移性收入和其他收入。一般公共预算支出按照功能分类，包括一般公共服务支出，外交、公共安全、国防支出，农业、环境保护支出，教育、科技、文化、卫生、体育支出，社会保障及就业支出和其他支出。</w:t>
      </w:r>
    </w:p>
    <w:p>
      <w:pPr>
        <w:widowControl/>
        <w:spacing w:line="560" w:lineRule="exact"/>
        <w:ind w:firstLine="321" w:firstLineChars="100"/>
        <w:jc w:val="left"/>
        <w:rPr>
          <w:rFonts w:ascii="宋体" w:hAnsi="宋体" w:eastAsia="仿宋" w:cs="宋体"/>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“三公”经费：</w:t>
      </w:r>
      <w:r>
        <w:rPr>
          <w:rFonts w:hint="eastAsia" w:ascii="仿宋" w:hAnsi="仿宋" w:eastAsia="仿宋"/>
          <w:sz w:val="32"/>
          <w:szCs w:val="32"/>
        </w:rPr>
        <w:t xml:space="preserve">是指因公出国（境）费用、公务用车购置及运行维护费和公务接待费。 </w:t>
      </w:r>
      <w:r>
        <w:rPr>
          <w:rFonts w:hint="eastAsia" w:ascii="宋体" w:hAnsi="宋体" w:eastAsia="仿宋" w:cs="宋体"/>
          <w:sz w:val="32"/>
          <w:szCs w:val="32"/>
        </w:rPr>
        <w:t> </w:t>
      </w:r>
      <w:r>
        <w:rPr>
          <w:rFonts w:hint="eastAsia" w:ascii="仿宋" w:hAnsi="仿宋" w:eastAsia="仿宋" w:cs="黑体"/>
          <w:sz w:val="32"/>
          <w:szCs w:val="32"/>
        </w:rPr>
        <w:t xml:space="preserve"> </w:t>
      </w:r>
      <w:r>
        <w:rPr>
          <w:rFonts w:hint="eastAsia" w:ascii="宋体" w:hAnsi="宋体" w:eastAsia="仿宋" w:cs="宋体"/>
          <w:sz w:val="32"/>
          <w:szCs w:val="32"/>
        </w:rPr>
        <w:t> </w:t>
      </w:r>
      <w:r>
        <w:rPr>
          <w:rFonts w:hint="eastAsia" w:ascii="仿宋" w:hAnsi="仿宋" w:eastAsia="仿宋" w:cs="黑体"/>
          <w:sz w:val="32"/>
          <w:szCs w:val="32"/>
        </w:rPr>
        <w:t xml:space="preserve"> </w:t>
      </w:r>
      <w:r>
        <w:rPr>
          <w:rFonts w:hint="eastAsia" w:ascii="宋体" w:hAnsi="宋体" w:eastAsia="仿宋" w:cs="宋体"/>
          <w:sz w:val="32"/>
          <w:szCs w:val="32"/>
        </w:rPr>
        <w:t> </w:t>
      </w:r>
    </w:p>
    <w:p>
      <w:pPr>
        <w:widowControl/>
        <w:spacing w:line="560" w:lineRule="exact"/>
        <w:ind w:firstLine="321" w:firstLineChars="100"/>
        <w:jc w:val="left"/>
        <w:rPr>
          <w:rFonts w:ascii="仿宋" w:hAnsi="仿宋" w:eastAsia="仿宋"/>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基本支出：</w:t>
      </w:r>
      <w:r>
        <w:rPr>
          <w:rFonts w:hint="eastAsia" w:ascii="仿宋" w:hAnsi="仿宋" w:eastAsia="仿宋"/>
          <w:sz w:val="32"/>
          <w:szCs w:val="32"/>
        </w:rPr>
        <w:t xml:space="preserve">指为保障机构正常运转、完成日常工作任务而发生的人员支出和公用支出。 </w:t>
      </w:r>
    </w:p>
    <w:p>
      <w:pPr>
        <w:widowControl/>
        <w:spacing w:line="560" w:lineRule="exact"/>
        <w:ind w:firstLine="321" w:firstLineChars="100"/>
        <w:jc w:val="left"/>
        <w:rPr>
          <w:rFonts w:ascii="仿宋" w:hAnsi="仿宋" w:eastAsia="仿宋"/>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项目支出：</w:t>
      </w:r>
      <w:r>
        <w:rPr>
          <w:rFonts w:hint="eastAsia" w:ascii="仿宋" w:hAnsi="仿宋" w:eastAsia="仿宋"/>
          <w:sz w:val="32"/>
          <w:szCs w:val="32"/>
        </w:rPr>
        <w:t xml:space="preserve">指在基本支出之外为完成特定行政任务和事业发展目标所发生的支出。 </w:t>
      </w:r>
    </w:p>
    <w:p>
      <w:pPr>
        <w:widowControl/>
        <w:spacing w:line="560" w:lineRule="exact"/>
        <w:ind w:firstLine="321" w:firstLineChars="100"/>
        <w:jc w:val="left"/>
        <w:rPr>
          <w:rFonts w:ascii="仿宋" w:hAnsi="仿宋" w:eastAsia="仿宋"/>
          <w:sz w:val="32"/>
          <w:szCs w:val="32"/>
        </w:rPr>
      </w:pPr>
      <w:r>
        <w:rPr>
          <w:rFonts w:hint="eastAsia" w:ascii="仿宋" w:hAnsi="仿宋" w:eastAsia="仿宋"/>
          <w:b/>
          <w:sz w:val="32"/>
          <w:szCs w:val="32"/>
          <w:lang w:val="en-US" w:eastAsia="zh-CN"/>
        </w:rPr>
        <w:t>5、</w:t>
      </w:r>
      <w:r>
        <w:rPr>
          <w:rFonts w:hint="eastAsia" w:ascii="仿宋" w:hAnsi="仿宋" w:eastAsia="仿宋"/>
          <w:b/>
          <w:sz w:val="32"/>
          <w:szCs w:val="32"/>
        </w:rPr>
        <w:t>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60" w:lineRule="exact"/>
        <w:ind w:firstLine="321" w:firstLineChars="100"/>
        <w:jc w:val="left"/>
        <w:rPr>
          <w:rFonts w:ascii="仿宋" w:hAnsi="仿宋" w:eastAsia="仿宋"/>
          <w:sz w:val="32"/>
          <w:szCs w:val="32"/>
        </w:rPr>
      </w:pPr>
      <w:r>
        <w:rPr>
          <w:rFonts w:hint="eastAsia" w:ascii="仿宋" w:hAnsi="仿宋" w:eastAsia="仿宋"/>
          <w:b/>
          <w:sz w:val="32"/>
          <w:szCs w:val="32"/>
        </w:rPr>
        <w:t>6、政府采购</w:t>
      </w:r>
      <w:r>
        <w:rPr>
          <w:rFonts w:hint="eastAsia" w:ascii="仿宋" w:hAnsi="仿宋" w:eastAsia="仿宋"/>
          <w:sz w:val="32"/>
          <w:szCs w:val="32"/>
        </w:rPr>
        <w:t>：是指国家机关、事业单位和团体组织，按政府采购</w:t>
      </w:r>
      <w:r>
        <w:rPr>
          <w:rFonts w:hint="eastAsia" w:ascii="宋体" w:hAnsi="宋体" w:eastAsia="仿宋" w:cs="宋体"/>
          <w:sz w:val="32"/>
          <w:szCs w:val="32"/>
        </w:rPr>
        <w:t> </w:t>
      </w:r>
      <w:r>
        <w:rPr>
          <w:rFonts w:hint="eastAsia" w:ascii="仿宋" w:hAnsi="仿宋" w:eastAsia="仿宋"/>
          <w:sz w:val="32"/>
          <w:szCs w:val="32"/>
        </w:rPr>
        <w:t>法规和相关规定，使用财政性资金采购法定集中采购目录以内的或者采购限额标准以上的货物、工程和服务的行为。</w:t>
      </w:r>
    </w:p>
    <w:sectPr>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66296"/>
    <w:multiLevelType w:val="singleLevel"/>
    <w:tmpl w:val="BC46629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5427"/>
    <w:rsid w:val="00010CC9"/>
    <w:rsid w:val="000134D4"/>
    <w:rsid w:val="000469B8"/>
    <w:rsid w:val="00061296"/>
    <w:rsid w:val="00066AA9"/>
    <w:rsid w:val="000C535C"/>
    <w:rsid w:val="000D25DA"/>
    <w:rsid w:val="000E3958"/>
    <w:rsid w:val="000E58CB"/>
    <w:rsid w:val="0011393B"/>
    <w:rsid w:val="0012512B"/>
    <w:rsid w:val="0013115D"/>
    <w:rsid w:val="00183163"/>
    <w:rsid w:val="0019560F"/>
    <w:rsid w:val="001E488A"/>
    <w:rsid w:val="00226885"/>
    <w:rsid w:val="00252E46"/>
    <w:rsid w:val="00253AF6"/>
    <w:rsid w:val="00266168"/>
    <w:rsid w:val="002717EE"/>
    <w:rsid w:val="002B68B9"/>
    <w:rsid w:val="002C7740"/>
    <w:rsid w:val="002F3CE0"/>
    <w:rsid w:val="002F58DE"/>
    <w:rsid w:val="003017B3"/>
    <w:rsid w:val="0031069E"/>
    <w:rsid w:val="00333608"/>
    <w:rsid w:val="00342584"/>
    <w:rsid w:val="00367DD8"/>
    <w:rsid w:val="0037413C"/>
    <w:rsid w:val="003860AC"/>
    <w:rsid w:val="003A4703"/>
    <w:rsid w:val="003C4898"/>
    <w:rsid w:val="003D5F17"/>
    <w:rsid w:val="003D6C60"/>
    <w:rsid w:val="0040555B"/>
    <w:rsid w:val="00421A9D"/>
    <w:rsid w:val="00426396"/>
    <w:rsid w:val="00426D14"/>
    <w:rsid w:val="00434A89"/>
    <w:rsid w:val="00470289"/>
    <w:rsid w:val="00476A15"/>
    <w:rsid w:val="00490359"/>
    <w:rsid w:val="004978D4"/>
    <w:rsid w:val="004C68FF"/>
    <w:rsid w:val="004F0FD8"/>
    <w:rsid w:val="00505066"/>
    <w:rsid w:val="00505CE7"/>
    <w:rsid w:val="00570E19"/>
    <w:rsid w:val="005A3E18"/>
    <w:rsid w:val="005B1CC8"/>
    <w:rsid w:val="005B6800"/>
    <w:rsid w:val="005C5FA8"/>
    <w:rsid w:val="005D6F9C"/>
    <w:rsid w:val="005F7DD8"/>
    <w:rsid w:val="00604BD2"/>
    <w:rsid w:val="00604DB1"/>
    <w:rsid w:val="00685C43"/>
    <w:rsid w:val="006B53BA"/>
    <w:rsid w:val="006C09A0"/>
    <w:rsid w:val="006E198E"/>
    <w:rsid w:val="00706586"/>
    <w:rsid w:val="007748DC"/>
    <w:rsid w:val="00785427"/>
    <w:rsid w:val="00790B3E"/>
    <w:rsid w:val="007B7CC4"/>
    <w:rsid w:val="007D64AF"/>
    <w:rsid w:val="007D7914"/>
    <w:rsid w:val="007D7F2C"/>
    <w:rsid w:val="007E6994"/>
    <w:rsid w:val="0083623D"/>
    <w:rsid w:val="00883ED4"/>
    <w:rsid w:val="00890AB6"/>
    <w:rsid w:val="008D38AF"/>
    <w:rsid w:val="008D508E"/>
    <w:rsid w:val="008D5332"/>
    <w:rsid w:val="008F0021"/>
    <w:rsid w:val="00900ACB"/>
    <w:rsid w:val="00933596"/>
    <w:rsid w:val="00935DEF"/>
    <w:rsid w:val="009420C7"/>
    <w:rsid w:val="00956398"/>
    <w:rsid w:val="009614B9"/>
    <w:rsid w:val="00970804"/>
    <w:rsid w:val="009861E7"/>
    <w:rsid w:val="009A55CB"/>
    <w:rsid w:val="009B1D2E"/>
    <w:rsid w:val="009B6C45"/>
    <w:rsid w:val="009D316D"/>
    <w:rsid w:val="009D31AA"/>
    <w:rsid w:val="009D360F"/>
    <w:rsid w:val="009E215C"/>
    <w:rsid w:val="009F4398"/>
    <w:rsid w:val="00A144B6"/>
    <w:rsid w:val="00A14692"/>
    <w:rsid w:val="00A1598A"/>
    <w:rsid w:val="00A736D0"/>
    <w:rsid w:val="00A96A66"/>
    <w:rsid w:val="00AB6539"/>
    <w:rsid w:val="00B3063D"/>
    <w:rsid w:val="00B65B4F"/>
    <w:rsid w:val="00B92441"/>
    <w:rsid w:val="00BD02CD"/>
    <w:rsid w:val="00BE7165"/>
    <w:rsid w:val="00C8350C"/>
    <w:rsid w:val="00CA05EE"/>
    <w:rsid w:val="00CE37C6"/>
    <w:rsid w:val="00D016D0"/>
    <w:rsid w:val="00D35341"/>
    <w:rsid w:val="00D403CA"/>
    <w:rsid w:val="00D60976"/>
    <w:rsid w:val="00D62971"/>
    <w:rsid w:val="00D662BC"/>
    <w:rsid w:val="00D86116"/>
    <w:rsid w:val="00D95187"/>
    <w:rsid w:val="00DD386C"/>
    <w:rsid w:val="00E36426"/>
    <w:rsid w:val="00E415E1"/>
    <w:rsid w:val="00E56D03"/>
    <w:rsid w:val="00EC6B92"/>
    <w:rsid w:val="00F35E19"/>
    <w:rsid w:val="00F62BE6"/>
    <w:rsid w:val="00F974DD"/>
    <w:rsid w:val="00FA4124"/>
    <w:rsid w:val="00FB45C2"/>
    <w:rsid w:val="047E2BBD"/>
    <w:rsid w:val="0D0236D9"/>
    <w:rsid w:val="2AD7486B"/>
    <w:rsid w:val="2BC33DA4"/>
    <w:rsid w:val="33B55D24"/>
    <w:rsid w:val="36666761"/>
    <w:rsid w:val="5C660244"/>
    <w:rsid w:val="5DE82657"/>
    <w:rsid w:val="72A066C9"/>
    <w:rsid w:val="7CA6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eastAsia="宋体"/>
      <w:kern w:val="2"/>
      <w:sz w:val="18"/>
      <w:szCs w:val="18"/>
      <w:lang w:val="en-US" w:eastAsia="zh-CN" w:bidi="ar-SA"/>
    </w:rPr>
  </w:style>
  <w:style w:type="character" w:customStyle="1" w:styleId="8">
    <w:name w:val="页脚 Char"/>
    <w:basedOn w:val="5"/>
    <w:link w:val="3"/>
    <w:qFormat/>
    <w:uiPriority w:val="0"/>
    <w:rPr>
      <w:rFonts w:eastAsia="宋体"/>
      <w:kern w:val="2"/>
      <w:sz w:val="18"/>
      <w:szCs w:val="18"/>
      <w:lang w:val="en-US" w:eastAsia="zh-CN" w:bidi="ar-SA"/>
    </w:rPr>
  </w:style>
  <w:style w:type="paragraph" w:customStyle="1" w:styleId="9">
    <w:name w:val="p0"/>
    <w:basedOn w:val="1"/>
    <w:qFormat/>
    <w:uiPriority w:val="0"/>
    <w:pPr>
      <w:widowControl/>
      <w:spacing w:line="408" w:lineRule="auto"/>
      <w:ind w:left="1"/>
    </w:pPr>
    <w:rPr>
      <w:color w:val="000000"/>
      <w:kern w:val="0"/>
      <w:szCs w:val="21"/>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67DAE-0ECA-484F-9229-CB9F8350BF5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1469</Words>
  <Characters>8377</Characters>
  <Lines>69</Lines>
  <Paragraphs>19</Paragraphs>
  <ScaleCrop>false</ScaleCrop>
  <LinksUpToDate>false</LinksUpToDate>
  <CharactersWithSpaces>9827</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2018-01-02T09:42:00Z</dcterms:created>
  <dc:creator>User</dc:creator>
  <cp:lastModifiedBy>Administrator</cp:lastModifiedBy>
  <cp:lastPrinted>2018-01-23T02:10:00Z</cp:lastPrinted>
  <dcterms:modified xsi:type="dcterms:W3CDTF">2019-02-21T01:04:32Z</dcterms:modified>
  <dc:title>附件</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