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仿宋"/>
          <w:sz w:val="32"/>
          <w:szCs w:val="32"/>
        </w:rPr>
      </w:pPr>
      <w:r>
        <w:rPr>
          <w:rFonts w:hint="eastAsia" w:ascii="仿宋" w:eastAsia="仿宋"/>
          <w:sz w:val="32"/>
          <w:szCs w:val="32"/>
        </w:rPr>
        <w:t>附件</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ascii="仿宋" w:eastAsia="仿宋"/>
          <w:sz w:val="32"/>
          <w:szCs w:val="32"/>
        </w:rPr>
      </w:pPr>
      <w:r>
        <w:rPr>
          <w:rFonts w:hint="eastAsia" w:ascii="方正小标宋简体" w:eastAsia="方正小标宋简体"/>
          <w:kern w:val="0"/>
          <w:sz w:val="44"/>
          <w:szCs w:val="44"/>
        </w:rPr>
        <w:t>青铜峡市老干部局2018年部门预算</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b/>
          <w:kern w:val="0"/>
          <w:sz w:val="32"/>
          <w:szCs w:val="32"/>
        </w:rPr>
      </w:pPr>
    </w:p>
    <w:p>
      <w:pPr>
        <w:rPr>
          <w:rFonts w:ascii="仿宋" w:eastAsia="仿宋"/>
          <w:b/>
          <w:kern w:val="0"/>
          <w:sz w:val="32"/>
          <w:szCs w:val="32"/>
        </w:rPr>
      </w:pPr>
    </w:p>
    <w:p>
      <w:pPr>
        <w:jc w:val="center"/>
        <w:rPr>
          <w:rFonts w:ascii="方正小标宋简体" w:eastAsia="方正小标宋简体"/>
          <w:kern w:val="0"/>
          <w:sz w:val="44"/>
          <w:szCs w:val="44"/>
        </w:rPr>
      </w:pPr>
      <w:r>
        <w:rPr>
          <w:rFonts w:hint="eastAsia" w:ascii="方正小标宋简体"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eastAsia="方正小标宋简体"/>
          <w:kern w:val="0"/>
          <w:sz w:val="44"/>
          <w:szCs w:val="44"/>
        </w:rPr>
        <w:t xml:space="preserve"> 录</w:t>
      </w:r>
    </w:p>
    <w:p>
      <w:pPr>
        <w:rPr>
          <w:rFonts w:ascii="仿宋" w:eastAsia="仿宋"/>
          <w:b/>
          <w:kern w:val="0"/>
          <w:sz w:val="32"/>
          <w:szCs w:val="32"/>
        </w:rPr>
      </w:pPr>
    </w:p>
    <w:p>
      <w:pPr>
        <w:ind w:firstLine="720" w:firstLineChars="225"/>
        <w:rPr>
          <w:rFonts w:ascii="黑体" w:eastAsia="黑体"/>
          <w:kern w:val="0"/>
          <w:sz w:val="32"/>
          <w:szCs w:val="32"/>
        </w:rPr>
      </w:pPr>
      <w:r>
        <w:rPr>
          <w:rFonts w:hint="eastAsia" w:ascii="黑体" w:eastAsia="黑体"/>
          <w:kern w:val="0"/>
          <w:sz w:val="32"/>
          <w:szCs w:val="32"/>
        </w:rPr>
        <w:t>第一部分    单位概况</w:t>
      </w:r>
    </w:p>
    <w:p>
      <w:pPr>
        <w:ind w:firstLine="720" w:firstLineChars="225"/>
        <w:rPr>
          <w:rFonts w:ascii="仿宋" w:eastAsia="仿宋"/>
          <w:kern w:val="0"/>
          <w:sz w:val="32"/>
          <w:szCs w:val="32"/>
        </w:rPr>
      </w:pPr>
      <w:r>
        <w:rPr>
          <w:rFonts w:hint="eastAsia" w:ascii="仿宋" w:eastAsia="仿宋"/>
          <w:kern w:val="0"/>
          <w:sz w:val="32"/>
          <w:szCs w:val="32"/>
        </w:rPr>
        <w:t>一、</w:t>
      </w:r>
      <w:r>
        <w:rPr>
          <w:rFonts w:hint="eastAsia" w:ascii="仿宋" w:eastAsia="仿宋"/>
          <w:color w:val="000000"/>
          <w:kern w:val="0"/>
          <w:sz w:val="32"/>
          <w:szCs w:val="32"/>
        </w:rPr>
        <w:t>主要职能</w:t>
      </w:r>
    </w:p>
    <w:p>
      <w:pPr>
        <w:ind w:firstLine="720" w:firstLineChars="225"/>
        <w:rPr>
          <w:rFonts w:ascii="仿宋" w:eastAsia="仿宋"/>
          <w:kern w:val="0"/>
          <w:sz w:val="32"/>
          <w:szCs w:val="32"/>
        </w:rPr>
      </w:pPr>
      <w:r>
        <w:rPr>
          <w:rFonts w:hint="eastAsia" w:ascii="仿宋" w:eastAsia="仿宋"/>
          <w:color w:val="000000"/>
          <w:kern w:val="0"/>
          <w:sz w:val="32"/>
          <w:szCs w:val="32"/>
        </w:rPr>
        <w:t>二、部门预算单位构成</w:t>
      </w:r>
    </w:p>
    <w:p>
      <w:pPr>
        <w:ind w:firstLine="720" w:firstLineChars="225"/>
        <w:rPr>
          <w:rFonts w:ascii="黑体" w:eastAsia="黑体"/>
          <w:kern w:val="0"/>
          <w:sz w:val="32"/>
          <w:szCs w:val="32"/>
        </w:rPr>
      </w:pPr>
      <w:r>
        <w:rPr>
          <w:rFonts w:hint="eastAsia" w:ascii="黑体" w:eastAsia="黑体"/>
          <w:kern w:val="0"/>
          <w:sz w:val="32"/>
          <w:szCs w:val="32"/>
        </w:rPr>
        <w:t>第二部分    2018年部门预算表</w:t>
      </w:r>
    </w:p>
    <w:p>
      <w:pPr>
        <w:ind w:firstLine="720" w:firstLineChars="225"/>
        <w:rPr>
          <w:rFonts w:ascii="仿宋" w:eastAsia="仿宋"/>
          <w:kern w:val="0"/>
          <w:sz w:val="32"/>
          <w:szCs w:val="32"/>
        </w:rPr>
      </w:pPr>
      <w:r>
        <w:rPr>
          <w:rFonts w:hint="eastAsia" w:ascii="仿宋" w:eastAsia="仿宋"/>
          <w:kern w:val="0"/>
          <w:sz w:val="32"/>
          <w:szCs w:val="32"/>
        </w:rPr>
        <w:t>一、财政拨款收支预算总表</w:t>
      </w:r>
    </w:p>
    <w:p>
      <w:pPr>
        <w:ind w:firstLine="720" w:firstLineChars="225"/>
        <w:rPr>
          <w:rFonts w:ascii="仿宋" w:eastAsia="仿宋"/>
          <w:kern w:val="0"/>
          <w:sz w:val="32"/>
          <w:szCs w:val="32"/>
        </w:rPr>
      </w:pPr>
      <w:r>
        <w:rPr>
          <w:rFonts w:hint="eastAsia" w:ascii="仿宋" w:eastAsia="仿宋"/>
          <w:kern w:val="0"/>
          <w:sz w:val="32"/>
          <w:szCs w:val="32"/>
        </w:rPr>
        <w:t>二、财政拨款支出预算总表</w:t>
      </w:r>
    </w:p>
    <w:p>
      <w:pPr>
        <w:ind w:firstLine="720" w:firstLineChars="225"/>
        <w:rPr>
          <w:rFonts w:ascii="仿宋" w:eastAsia="仿宋"/>
          <w:kern w:val="0"/>
          <w:sz w:val="32"/>
          <w:szCs w:val="32"/>
        </w:rPr>
      </w:pPr>
      <w:r>
        <w:rPr>
          <w:rFonts w:hint="eastAsia" w:ascii="仿宋" w:eastAsia="仿宋"/>
          <w:kern w:val="0"/>
          <w:sz w:val="32"/>
          <w:szCs w:val="32"/>
        </w:rPr>
        <w:t>三、一般公共预算支出表</w:t>
      </w:r>
    </w:p>
    <w:p>
      <w:pPr>
        <w:ind w:firstLine="720" w:firstLineChars="225"/>
        <w:rPr>
          <w:rFonts w:ascii="仿宋" w:eastAsia="仿宋"/>
          <w:kern w:val="0"/>
          <w:sz w:val="32"/>
          <w:szCs w:val="32"/>
        </w:rPr>
      </w:pPr>
      <w:r>
        <w:rPr>
          <w:rFonts w:hint="eastAsia" w:ascii="仿宋" w:eastAsia="仿宋"/>
          <w:kern w:val="0"/>
          <w:sz w:val="32"/>
          <w:szCs w:val="32"/>
        </w:rPr>
        <w:t>四、一般公共预算基本支出和项目支出部门经济分类科目表</w:t>
      </w:r>
    </w:p>
    <w:p>
      <w:pPr>
        <w:ind w:firstLine="720" w:firstLineChars="225"/>
        <w:rPr>
          <w:rFonts w:ascii="仿宋" w:eastAsia="仿宋"/>
          <w:kern w:val="0"/>
          <w:sz w:val="32"/>
          <w:szCs w:val="32"/>
        </w:rPr>
      </w:pPr>
      <w:r>
        <w:rPr>
          <w:rFonts w:hint="eastAsia" w:ascii="仿宋" w:eastAsia="仿宋"/>
          <w:kern w:val="0"/>
          <w:sz w:val="32"/>
          <w:szCs w:val="32"/>
        </w:rPr>
        <w:t>五、一般公共预算“三公”经费支出表</w:t>
      </w:r>
    </w:p>
    <w:p>
      <w:pPr>
        <w:ind w:firstLine="720" w:firstLineChars="225"/>
        <w:rPr>
          <w:rFonts w:ascii="仿宋" w:eastAsia="仿宋"/>
          <w:kern w:val="0"/>
          <w:sz w:val="32"/>
          <w:szCs w:val="32"/>
        </w:rPr>
      </w:pPr>
      <w:r>
        <w:rPr>
          <w:rFonts w:hint="eastAsia" w:ascii="仿宋" w:eastAsia="仿宋"/>
          <w:kern w:val="0"/>
          <w:sz w:val="32"/>
          <w:szCs w:val="32"/>
        </w:rPr>
        <w:t>六、政府性基金预算支出明细表</w:t>
      </w:r>
    </w:p>
    <w:p>
      <w:pPr>
        <w:ind w:firstLine="720" w:firstLineChars="225"/>
        <w:rPr>
          <w:rFonts w:ascii="仿宋" w:eastAsia="仿宋"/>
          <w:kern w:val="0"/>
          <w:sz w:val="32"/>
          <w:szCs w:val="32"/>
        </w:rPr>
      </w:pPr>
      <w:r>
        <w:rPr>
          <w:rFonts w:hint="eastAsia" w:ascii="仿宋" w:eastAsia="仿宋"/>
          <w:kern w:val="0"/>
          <w:sz w:val="32"/>
          <w:szCs w:val="32"/>
        </w:rPr>
        <w:t>七、部门收支预算总表</w:t>
      </w:r>
    </w:p>
    <w:p>
      <w:pPr>
        <w:ind w:firstLine="720" w:firstLineChars="225"/>
        <w:rPr>
          <w:rFonts w:ascii="仿宋" w:eastAsia="仿宋"/>
          <w:kern w:val="0"/>
          <w:sz w:val="32"/>
          <w:szCs w:val="32"/>
        </w:rPr>
      </w:pPr>
      <w:r>
        <w:rPr>
          <w:rFonts w:hint="eastAsia" w:ascii="仿宋" w:eastAsia="仿宋"/>
          <w:kern w:val="0"/>
          <w:sz w:val="32"/>
          <w:szCs w:val="32"/>
        </w:rPr>
        <w:t>八、部门收入总表</w:t>
      </w:r>
    </w:p>
    <w:p>
      <w:pPr>
        <w:ind w:firstLine="720" w:firstLineChars="225"/>
        <w:rPr>
          <w:rFonts w:ascii="仿宋" w:eastAsia="仿宋"/>
          <w:kern w:val="0"/>
          <w:sz w:val="32"/>
          <w:szCs w:val="32"/>
        </w:rPr>
      </w:pPr>
      <w:r>
        <w:rPr>
          <w:rFonts w:hint="eastAsia" w:ascii="仿宋" w:eastAsia="仿宋"/>
          <w:kern w:val="0"/>
          <w:sz w:val="32"/>
          <w:szCs w:val="32"/>
        </w:rPr>
        <w:t>九、部门支出总表</w:t>
      </w:r>
    </w:p>
    <w:p>
      <w:pPr>
        <w:ind w:firstLine="720" w:firstLineChars="225"/>
        <w:rPr>
          <w:rFonts w:ascii="黑体" w:eastAsia="黑体"/>
          <w:kern w:val="0"/>
          <w:sz w:val="32"/>
          <w:szCs w:val="32"/>
        </w:rPr>
      </w:pPr>
      <w:r>
        <w:rPr>
          <w:rFonts w:hint="eastAsia" w:ascii="黑体" w:eastAsia="黑体"/>
          <w:kern w:val="0"/>
          <w:sz w:val="32"/>
          <w:szCs w:val="32"/>
        </w:rPr>
        <w:t>第三部分   2018年部门预算情况说明</w:t>
      </w:r>
    </w:p>
    <w:p>
      <w:pPr>
        <w:ind w:firstLine="720" w:firstLineChars="225"/>
        <w:rPr>
          <w:rFonts w:ascii="黑体" w:eastAsia="黑体"/>
          <w:kern w:val="0"/>
          <w:sz w:val="32"/>
          <w:szCs w:val="32"/>
        </w:rPr>
      </w:pPr>
      <w:r>
        <w:rPr>
          <w:rFonts w:hint="eastAsia" w:ascii="黑体" w:eastAsia="黑体"/>
          <w:kern w:val="0"/>
          <w:sz w:val="32"/>
          <w:szCs w:val="32"/>
        </w:rPr>
        <w:t>第四部门   名词解释</w:t>
      </w:r>
    </w:p>
    <w:p>
      <w:pPr>
        <w:rPr>
          <w:rFonts w:ascii="仿宋" w:eastAsia="仿宋"/>
          <w:b/>
          <w:kern w:val="0"/>
          <w:sz w:val="32"/>
          <w:szCs w:val="32"/>
        </w:rPr>
      </w:pPr>
    </w:p>
    <w:p>
      <w:pPr>
        <w:rPr>
          <w:rFonts w:ascii="仿宋" w:eastAsia="仿宋"/>
          <w:b/>
          <w:kern w:val="0"/>
          <w:sz w:val="32"/>
          <w:szCs w:val="32"/>
        </w:rPr>
      </w:pPr>
    </w:p>
    <w:p>
      <w:pPr>
        <w:rPr>
          <w:rFonts w:ascii="仿宋" w:eastAsia="仿宋"/>
          <w:b/>
          <w:kern w:val="0"/>
          <w:sz w:val="32"/>
          <w:szCs w:val="32"/>
        </w:rPr>
      </w:pPr>
    </w:p>
    <w:p>
      <w:pPr>
        <w:rPr>
          <w:rFonts w:ascii="仿宋" w:eastAsia="仿宋"/>
          <w:b/>
          <w:kern w:val="0"/>
          <w:sz w:val="32"/>
          <w:szCs w:val="32"/>
        </w:rPr>
      </w:pPr>
    </w:p>
    <w:p>
      <w:pPr>
        <w:jc w:val="center"/>
        <w:rPr>
          <w:rFonts w:ascii="方正小标宋简体" w:eastAsia="方正小标宋简体"/>
          <w:kern w:val="0"/>
          <w:sz w:val="44"/>
          <w:szCs w:val="44"/>
        </w:rPr>
      </w:pPr>
      <w:r>
        <w:rPr>
          <w:rFonts w:hint="eastAsia" w:ascii="方正小标宋简体" w:eastAsia="方正小标宋简体"/>
          <w:kern w:val="0"/>
          <w:sz w:val="44"/>
          <w:szCs w:val="44"/>
        </w:rPr>
        <w:t>老干部局2018年部门预算——单位概况</w:t>
      </w:r>
    </w:p>
    <w:p>
      <w:pPr>
        <w:ind w:firstLine="716" w:firstLineChars="224"/>
        <w:rPr>
          <w:rFonts w:ascii="仿宋" w:eastAsia="仿宋"/>
          <w:kern w:val="0"/>
          <w:sz w:val="32"/>
          <w:szCs w:val="32"/>
        </w:rPr>
      </w:pPr>
    </w:p>
    <w:p>
      <w:pPr>
        <w:ind w:firstLine="716" w:firstLineChars="224"/>
        <w:rPr>
          <w:rFonts w:ascii="黑体" w:eastAsia="黑体"/>
          <w:kern w:val="0"/>
          <w:sz w:val="32"/>
          <w:szCs w:val="32"/>
        </w:rPr>
      </w:pPr>
      <w:r>
        <w:rPr>
          <w:rFonts w:hint="eastAsia" w:ascii="黑体" w:eastAsia="黑体"/>
          <w:kern w:val="0"/>
          <w:sz w:val="32"/>
          <w:szCs w:val="32"/>
        </w:rPr>
        <w:t>一、</w:t>
      </w:r>
      <w:r>
        <w:rPr>
          <w:rFonts w:hint="eastAsia" w:ascii="黑体" w:eastAsia="黑体"/>
          <w:color w:val="000000"/>
          <w:kern w:val="0"/>
          <w:sz w:val="32"/>
          <w:szCs w:val="32"/>
        </w:rPr>
        <w:t>主要职能</w:t>
      </w:r>
      <w:r>
        <w:rPr>
          <w:rFonts w:hint="eastAsia" w:eastAsia="黑体"/>
          <w:kern w:val="0"/>
          <w:sz w:val="32"/>
          <w:szCs w:val="32"/>
        </w:rPr>
        <w:t> </w:t>
      </w:r>
    </w:p>
    <w:p>
      <w:pPr>
        <w:spacing w:line="560" w:lineRule="exact"/>
        <w:ind w:firstLine="640" w:firstLineChars="200"/>
        <w:rPr>
          <w:rFonts w:ascii="仿宋" w:eastAsia="仿宋" w:cs="Arial"/>
          <w:sz w:val="32"/>
          <w:szCs w:val="32"/>
          <w:shd w:val="clear" w:color="auto" w:fill="FFFFFF"/>
        </w:rPr>
      </w:pPr>
      <w:r>
        <w:rPr>
          <w:rFonts w:hint="eastAsia" w:ascii="仿宋" w:eastAsia="仿宋"/>
          <w:sz w:val="32"/>
          <w:szCs w:val="32"/>
          <w:shd w:val="clear" w:color="auto" w:fill="FFFFFF"/>
        </w:rPr>
        <w:t>青铜峡市委老干部局承担全市离退休干部服务管理工作职能，其主要职责是贯彻落实中央和自治区关于离退休干部工作的方针政策，全面落实离退休干部政治、生活待遇，加强离退休干部党组织、党员思想政治建设和学习活动阵地建设，组织开展参观考察、工作通报、走访慰问以及大型文体健身等活动，丰富老同志的精神文化生活，组织引导老同志青铜峡发展发挥作用，为党的事业增添正能量。</w:t>
      </w:r>
    </w:p>
    <w:p>
      <w:pPr>
        <w:spacing w:line="560" w:lineRule="exact"/>
        <w:ind w:firstLine="810" w:firstLineChars="224"/>
        <w:rPr>
          <w:rFonts w:ascii="黑体" w:eastAsia="黑体"/>
          <w:b/>
          <w:kern w:val="0"/>
          <w:sz w:val="36"/>
          <w:szCs w:val="36"/>
        </w:rPr>
      </w:pPr>
      <w:r>
        <w:rPr>
          <w:rFonts w:hint="eastAsia" w:ascii="黑体" w:eastAsia="黑体"/>
          <w:b/>
          <w:color w:val="000000"/>
          <w:kern w:val="0"/>
          <w:sz w:val="36"/>
          <w:szCs w:val="36"/>
        </w:rPr>
        <w:t>二、部门预算单位构成</w:t>
      </w:r>
    </w:p>
    <w:p>
      <w:pPr>
        <w:spacing w:line="560" w:lineRule="exact"/>
        <w:ind w:firstLine="716" w:firstLineChars="224"/>
        <w:rPr>
          <w:rFonts w:hint="eastAsia" w:ascii="仿宋" w:eastAsia="仿宋"/>
          <w:color w:val="000000"/>
          <w:kern w:val="0"/>
          <w:sz w:val="32"/>
          <w:szCs w:val="32"/>
          <w:lang w:eastAsia="zh-CN"/>
        </w:rPr>
      </w:pPr>
      <w:r>
        <w:rPr>
          <w:rFonts w:hint="eastAsia" w:ascii="仿宋" w:eastAsia="仿宋"/>
          <w:color w:val="000000"/>
          <w:kern w:val="0"/>
          <w:sz w:val="32"/>
          <w:szCs w:val="32"/>
        </w:rPr>
        <w:t>从预算单位构成看，老干部局部门预算包括：本级预算、</w:t>
      </w:r>
      <w:r>
        <w:rPr>
          <w:rFonts w:hint="eastAsia" w:ascii="仿宋" w:eastAsia="仿宋"/>
          <w:color w:val="000000"/>
          <w:kern w:val="0"/>
          <w:sz w:val="32"/>
          <w:szCs w:val="32"/>
          <w:lang w:val="en-US" w:eastAsia="zh-CN"/>
        </w:rPr>
        <w:t>行政编制9个，参公事业8个，</w:t>
      </w:r>
      <w:r>
        <w:rPr>
          <w:rFonts w:hint="eastAsia" w:ascii="仿宋" w:eastAsia="仿宋"/>
          <w:color w:val="000000"/>
          <w:kern w:val="0"/>
          <w:sz w:val="32"/>
          <w:szCs w:val="32"/>
          <w:lang w:eastAsia="zh-CN"/>
        </w:rPr>
        <w:t>内设办公室</w:t>
      </w:r>
      <w:r>
        <w:rPr>
          <w:rFonts w:hint="eastAsia" w:ascii="仿宋" w:eastAsia="仿宋"/>
          <w:color w:val="000000"/>
          <w:kern w:val="0"/>
          <w:sz w:val="32"/>
          <w:szCs w:val="32"/>
          <w:lang w:val="en-US" w:eastAsia="zh-CN"/>
        </w:rPr>
        <w:t xml:space="preserve"> 、</w:t>
      </w:r>
      <w:r>
        <w:rPr>
          <w:rFonts w:hint="eastAsia" w:ascii="仿宋" w:eastAsia="仿宋"/>
          <w:color w:val="000000"/>
          <w:kern w:val="0"/>
          <w:sz w:val="32"/>
          <w:szCs w:val="32"/>
          <w:lang w:eastAsia="zh-CN"/>
        </w:rPr>
        <w:t>活动中心，</w:t>
      </w:r>
      <w:r>
        <w:rPr>
          <w:rFonts w:hint="eastAsia" w:ascii="仿宋" w:eastAsia="仿宋"/>
          <w:color w:val="000000"/>
          <w:kern w:val="0"/>
          <w:sz w:val="32"/>
          <w:szCs w:val="32"/>
        </w:rPr>
        <w:t>所属</w:t>
      </w:r>
      <w:r>
        <w:rPr>
          <w:rFonts w:hint="eastAsia" w:ascii="仿宋" w:eastAsia="仿宋"/>
          <w:color w:val="000000"/>
          <w:kern w:val="0"/>
          <w:sz w:val="32"/>
          <w:szCs w:val="32"/>
          <w:lang w:eastAsia="zh-CN"/>
        </w:rPr>
        <w:t>单位有</w:t>
      </w:r>
      <w:r>
        <w:rPr>
          <w:rFonts w:hint="eastAsia" w:ascii="仿宋" w:eastAsia="仿宋"/>
          <w:color w:val="000000"/>
          <w:kern w:val="0"/>
          <w:sz w:val="32"/>
          <w:szCs w:val="32"/>
        </w:rPr>
        <w:t>老年大学</w:t>
      </w:r>
      <w:r>
        <w:rPr>
          <w:rFonts w:hint="eastAsia" w:ascii="仿宋" w:eastAsia="仿宋"/>
          <w:color w:val="000000"/>
          <w:kern w:val="0"/>
          <w:sz w:val="32"/>
          <w:szCs w:val="32"/>
          <w:lang w:eastAsia="zh-CN"/>
        </w:rPr>
        <w:t>、关工委、延安精神研究会，</w:t>
      </w:r>
      <w:bookmarkStart w:id="0" w:name="_GoBack"/>
      <w:bookmarkEnd w:id="0"/>
      <w:r>
        <w:rPr>
          <w:rFonts w:hint="eastAsia" w:ascii="仿宋" w:eastAsia="仿宋"/>
          <w:color w:val="000000"/>
          <w:kern w:val="0"/>
          <w:sz w:val="32"/>
          <w:szCs w:val="32"/>
          <w:lang w:eastAsia="zh-CN"/>
        </w:rPr>
        <w:t>隶属老干部局管理，经费预算纳入老干部局核算。</w:t>
      </w:r>
    </w:p>
    <w:p>
      <w:pPr>
        <w:spacing w:line="560" w:lineRule="exact"/>
        <w:ind w:firstLine="716" w:firstLineChars="224"/>
        <w:rPr>
          <w:rFonts w:hint="eastAsia" w:ascii="仿宋" w:eastAsia="仿宋"/>
          <w:color w:val="000000"/>
          <w:kern w:val="0"/>
          <w:sz w:val="32"/>
          <w:szCs w:val="32"/>
          <w:lang w:eastAsia="zh-CN"/>
        </w:rPr>
      </w:pPr>
    </w:p>
    <w:p>
      <w:pPr>
        <w:spacing w:line="560" w:lineRule="exact"/>
        <w:ind w:firstLine="716" w:firstLineChars="224"/>
        <w:rPr>
          <w:rFonts w:hint="eastAsia" w:ascii="仿宋" w:eastAsia="仿宋"/>
          <w:color w:val="000000"/>
          <w:kern w:val="0"/>
          <w:sz w:val="32"/>
          <w:szCs w:val="32"/>
          <w:lang w:eastAsia="zh-CN"/>
        </w:rPr>
      </w:pPr>
    </w:p>
    <w:p>
      <w:pPr>
        <w:rPr>
          <w:rFonts w:ascii="仿宋" w:eastAsia="仿宋"/>
          <w:kern w:val="0"/>
          <w:sz w:val="32"/>
          <w:szCs w:val="32"/>
        </w:rPr>
      </w:pPr>
    </w:p>
    <w:p>
      <w:pPr>
        <w:ind w:firstLine="716" w:firstLineChars="224"/>
        <w:rPr>
          <w:rFonts w:ascii="仿宋" w:eastAsia="仿宋"/>
          <w:kern w:val="0"/>
          <w:sz w:val="32"/>
          <w:szCs w:val="32"/>
        </w:rPr>
      </w:pPr>
    </w:p>
    <w:p>
      <w:pPr>
        <w:ind w:firstLine="716" w:firstLineChars="224"/>
        <w:rPr>
          <w:rFonts w:asci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eastAsia="方正小标宋简体"/>
          <w:kern w:val="0"/>
          <w:sz w:val="44"/>
          <w:szCs w:val="44"/>
        </w:rPr>
      </w:pPr>
      <w:r>
        <w:rPr>
          <w:rFonts w:hint="eastAsia" w:ascii="方正小标宋简体" w:eastAsia="方正小标宋简体"/>
          <w:kern w:val="0"/>
          <w:sz w:val="44"/>
          <w:szCs w:val="44"/>
        </w:rPr>
        <w:t>老干部局2018年部门预算——预算表</w:t>
      </w:r>
    </w:p>
    <w:p>
      <w:pPr>
        <w:rPr>
          <w:rFonts w:ascii="黑体" w:eastAsia="黑体"/>
          <w:kern w:val="0"/>
          <w:sz w:val="24"/>
        </w:rPr>
      </w:pPr>
      <w:r>
        <w:rPr>
          <w:rFonts w:hint="eastAsia" w:ascii="黑体" w:eastAsia="黑体"/>
          <w:kern w:val="0"/>
          <w:sz w:val="32"/>
          <w:szCs w:val="32"/>
        </w:rPr>
        <w:t>一、财政拨款收支预算总表</w:t>
      </w:r>
    </w:p>
    <w:p>
      <w:pPr>
        <w:jc w:val="center"/>
        <w:rPr>
          <w:rFonts w:ascii="仿宋" w:eastAsia="仿宋"/>
          <w:kern w:val="0"/>
          <w:sz w:val="32"/>
          <w:szCs w:val="32"/>
        </w:rPr>
      </w:pPr>
      <w:r>
        <w:rPr>
          <w:rFonts w:hint="eastAsia" w:ascii="仿宋" w:eastAsia="仿宋"/>
          <w:b/>
          <w:kern w:val="0"/>
          <w:sz w:val="32"/>
          <w:szCs w:val="32"/>
        </w:rPr>
        <w:t>财政拨款收支预算总表</w:t>
      </w:r>
    </w:p>
    <w:p>
      <w:pPr>
        <w:rPr>
          <w:rFonts w:ascii="仿宋" w:eastAsia="仿宋"/>
          <w:kern w:val="0"/>
          <w:sz w:val="28"/>
          <w:szCs w:val="28"/>
        </w:rPr>
      </w:pPr>
      <w:r>
        <w:rPr>
          <w:rFonts w:hint="eastAsia" w:ascii="仿宋" w:eastAsia="仿宋"/>
          <w:kern w:val="0"/>
          <w:sz w:val="32"/>
          <w:szCs w:val="32"/>
        </w:rPr>
        <w:t xml:space="preserve">                                                            </w:t>
      </w:r>
      <w:r>
        <w:rPr>
          <w:rFonts w:hint="eastAsia" w:ascii="仿宋" w:eastAsia="仿宋"/>
          <w:kern w:val="0"/>
          <w:sz w:val="28"/>
          <w:szCs w:val="28"/>
        </w:rPr>
        <w:t xml:space="preserve"> 单位：万元</w:t>
      </w:r>
    </w:p>
    <w:tbl>
      <w:tblPr>
        <w:tblStyle w:val="5"/>
        <w:tblW w:w="13809" w:type="dxa"/>
        <w:tblInd w:w="10" w:type="dxa"/>
        <w:tblLayout w:type="fixed"/>
        <w:tblCellMar>
          <w:top w:w="0" w:type="dxa"/>
          <w:left w:w="0" w:type="dxa"/>
          <w:bottom w:w="0" w:type="dxa"/>
          <w:right w:w="0" w:type="dxa"/>
        </w:tblCellMar>
      </w:tblPr>
      <w:tblGrid>
        <w:gridCol w:w="3838"/>
        <w:gridCol w:w="14"/>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eastAsia="仿宋"/>
                <w:b/>
                <w:color w:val="000000"/>
                <w:kern w:val="0"/>
                <w:sz w:val="22"/>
                <w:szCs w:val="22"/>
              </w:rPr>
              <w:t>出</w:t>
            </w:r>
          </w:p>
        </w:tc>
      </w:tr>
      <w:tr>
        <w:tblPrEx>
          <w:tblLayout w:type="fixed"/>
          <w:tblCellMar>
            <w:top w:w="0" w:type="dxa"/>
            <w:left w:w="0" w:type="dxa"/>
            <w:bottom w:w="0" w:type="dxa"/>
            <w:right w:w="0" w:type="dxa"/>
          </w:tblCellMar>
        </w:tblPrEx>
        <w:tc>
          <w:tcPr>
            <w:tcW w:w="3838"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eastAsia="仿宋"/>
                <w:b/>
                <w:color w:val="000000"/>
                <w:kern w:val="0"/>
                <w:sz w:val="22"/>
                <w:szCs w:val="22"/>
              </w:rPr>
              <w:t>目</w:t>
            </w:r>
          </w:p>
        </w:tc>
        <w:tc>
          <w:tcPr>
            <w:tcW w:w="1378" w:type="dxa"/>
            <w:gridSpan w:val="2"/>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预算数</w:t>
            </w:r>
          </w:p>
        </w:tc>
      </w:tr>
      <w:tr>
        <w:tblPrEx>
          <w:tblLayout w:type="fixed"/>
          <w:tblCellMar>
            <w:top w:w="0" w:type="dxa"/>
            <w:left w:w="0" w:type="dxa"/>
            <w:bottom w:w="0" w:type="dxa"/>
            <w:right w:w="0" w:type="dxa"/>
          </w:tblCellMar>
        </w:tblPrEx>
        <w:tc>
          <w:tcPr>
            <w:tcW w:w="3838" w:type="dxa"/>
            <w:vMerge w:val="continue"/>
            <w:tcBorders>
              <w:top w:val="single" w:color="000000" w:sz="8" w:space="0"/>
              <w:left w:val="single" w:color="000000" w:sz="8" w:space="0"/>
              <w:bottom w:val="single" w:color="000000" w:sz="8" w:space="0"/>
              <w:right w:val="single" w:color="000000" w:sz="8" w:space="0"/>
            </w:tcBorders>
            <w:vAlign w:val="center"/>
          </w:tcPr>
          <w:p/>
        </w:tc>
        <w:tc>
          <w:tcPr>
            <w:tcW w:w="1378" w:type="dxa"/>
            <w:gridSpan w:val="2"/>
            <w:vMerge w:val="continue"/>
            <w:tcBorders>
              <w:top w:val="single" w:color="000000" w:sz="8" w:space="0"/>
              <w:left w:val="single" w:color="000000" w:sz="8" w:space="0"/>
              <w:bottom w:val="single" w:color="000000" w:sz="8" w:space="0"/>
              <w:right w:val="single" w:color="000000" w:sz="8" w:space="0"/>
            </w:tcBorders>
            <w:vAlign w:val="center"/>
          </w:tc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一、本年收入</w:t>
            </w: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rPr>
          <w:trHeight w:val="443" w:hRule="atLeast"/>
        </w:trPr>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（一）公共预算财政拨款</w:t>
            </w: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（二）政府性基金预算财政拨款</w:t>
            </w: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b/>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b/>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b/>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267.68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267.68</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16.05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16.05</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3838"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78"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18"/>
                <w:szCs w:val="18"/>
              </w:rPr>
            </w:pPr>
            <w:r>
              <w:rPr>
                <w:rFonts w:hint="eastAsia" w:asci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gridSpan w:val="2"/>
            <w:vMerge w:val="restart"/>
            <w:tcBorders>
              <w:top w:val="single" w:color="000000" w:sz="8" w:space="0"/>
              <w:left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18"/>
                <w:szCs w:val="18"/>
              </w:rPr>
            </w:pPr>
            <w:r>
              <w:rPr>
                <w:rFonts w:hint="eastAsia" w:asci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gridSpan w:val="2"/>
            <w:vMerge w:val="continue"/>
            <w:tcBorders>
              <w:left w:val="single" w:color="000000" w:sz="8" w:space="0"/>
              <w:bottom w:val="single" w:color="000000" w:sz="8" w:space="0"/>
              <w:right w:val="single" w:color="000000" w:sz="8" w:space="0"/>
            </w:tcBorders>
            <w:vAlign w:val="center"/>
          </w:tcPr>
          <w:p/>
        </w:tc>
        <w:tc>
          <w:tcPr>
            <w:tcW w:w="1364" w:type="dxa"/>
            <w:vMerge w:val="continue"/>
            <w:tcBorders>
              <w:left w:val="single" w:color="000000" w:sz="8" w:space="0"/>
              <w:bottom w:val="single" w:color="000000" w:sz="8" w:space="0"/>
              <w:right w:val="single" w:color="000000" w:sz="8" w:space="0"/>
            </w:tcBorders>
            <w:vAlign w:val="center"/>
          </w:tcPr>
          <w:p/>
        </w:tc>
        <w:tc>
          <w:tcPr>
            <w:tcW w:w="3852" w:type="dxa"/>
            <w:vMerge w:val="continue"/>
            <w:tcBorders>
              <w:left w:val="single" w:color="000000" w:sz="8" w:space="0"/>
              <w:bottom w:val="single" w:color="000000" w:sz="8" w:space="0"/>
              <w:right w:val="single" w:color="000000" w:sz="8" w:space="0"/>
            </w:tcBorders>
            <w:vAlign w:val="center"/>
          </w:tc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13.67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13.67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kern w:val="0"/>
                <w:sz w:val="24"/>
              </w:rPr>
              <w:t>297．40</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支出总计：</w:t>
            </w:r>
            <w:r>
              <w:rPr>
                <w:rFonts w:hint="eastAsia" w:ascii="仿宋" w:eastAsia="仿宋"/>
                <w:kern w:val="0"/>
                <w:sz w:val="24"/>
              </w:rPr>
              <w:t>297．40</w:t>
            </w:r>
          </w:p>
        </w:tc>
      </w:tr>
    </w:tbl>
    <w:p>
      <w:pPr>
        <w:rPr>
          <w:rFonts w:ascii="仿宋" w:eastAsia="仿宋"/>
          <w:kern w:val="0"/>
          <w:sz w:val="24"/>
        </w:rPr>
      </w:pPr>
    </w:p>
    <w:p>
      <w:pPr>
        <w:rPr>
          <w:rFonts w:ascii="仿宋" w:eastAsia="仿宋"/>
          <w:kern w:val="0"/>
          <w:sz w:val="32"/>
          <w:szCs w:val="32"/>
        </w:rPr>
      </w:pPr>
      <w:r>
        <w:rPr>
          <w:rFonts w:hint="eastAsia" w:ascii="仿宋" w:eastAsia="仿宋"/>
          <w:kern w:val="0"/>
          <w:sz w:val="32"/>
          <w:szCs w:val="32"/>
        </w:rPr>
        <w:t>注：支出预算功能科目各单位根据本单位实际据实填写。</w:t>
      </w:r>
    </w:p>
    <w:p>
      <w:pPr>
        <w:rPr>
          <w:rFonts w:ascii="仿宋" w:eastAsia="仿宋"/>
          <w:kern w:val="0"/>
          <w:sz w:val="32"/>
          <w:szCs w:val="32"/>
        </w:rPr>
      </w:pPr>
    </w:p>
    <w:p>
      <w:pPr>
        <w:rPr>
          <w:rFonts w:ascii="仿宋" w:eastAsia="仿宋"/>
          <w:kern w:val="0"/>
          <w:sz w:val="32"/>
          <w:szCs w:val="32"/>
        </w:rPr>
      </w:pPr>
    </w:p>
    <w:p>
      <w:pPr>
        <w:rPr>
          <w:rFonts w:ascii="黑体" w:eastAsia="黑体"/>
          <w:kern w:val="0"/>
          <w:sz w:val="24"/>
        </w:rPr>
      </w:pPr>
      <w:r>
        <w:rPr>
          <w:rFonts w:hint="eastAsia" w:ascii="黑体" w:eastAsia="黑体"/>
          <w:kern w:val="0"/>
          <w:sz w:val="32"/>
          <w:szCs w:val="32"/>
        </w:rPr>
        <w:t>二、财政拨款支出预算总表</w:t>
      </w:r>
    </w:p>
    <w:p>
      <w:pPr>
        <w:jc w:val="center"/>
        <w:rPr>
          <w:rFonts w:ascii="仿宋" w:eastAsia="仿宋"/>
          <w:kern w:val="0"/>
          <w:sz w:val="24"/>
        </w:rPr>
      </w:pPr>
      <w:r>
        <w:rPr>
          <w:rFonts w:hint="eastAsia" w:ascii="仿宋" w:eastAsia="仿宋"/>
          <w:b/>
          <w:kern w:val="0"/>
          <w:sz w:val="36"/>
          <w:szCs w:val="36"/>
        </w:rPr>
        <w:t>财政拨款支出预算总表</w:t>
      </w:r>
    </w:p>
    <w:p>
      <w:pPr>
        <w:rPr>
          <w:rFonts w:ascii="仿宋" w:eastAsia="仿宋"/>
          <w:kern w:val="0"/>
          <w:sz w:val="28"/>
          <w:szCs w:val="28"/>
        </w:rPr>
      </w:pPr>
      <w:r>
        <w:rPr>
          <w:rFonts w:hint="eastAsia" w:ascii="仿宋" w:eastAsia="仿宋"/>
          <w:kern w:val="0"/>
          <w:sz w:val="32"/>
          <w:szCs w:val="32"/>
        </w:rPr>
        <w:t xml:space="preserve">                                       </w:t>
      </w:r>
      <w:r>
        <w:rPr>
          <w:rFonts w:hint="eastAsia" w:ascii="仿宋" w:eastAsia="仿宋"/>
          <w:kern w:val="0"/>
          <w:sz w:val="28"/>
          <w:szCs w:val="28"/>
        </w:rPr>
        <w:t xml:space="preserve">                                                      单位：万元</w:t>
      </w:r>
    </w:p>
    <w:tbl>
      <w:tblPr>
        <w:tblStyle w:val="5"/>
        <w:tblW w:w="13820" w:type="dxa"/>
        <w:tblInd w:w="10" w:type="dxa"/>
        <w:tblLayout w:type="fixed"/>
        <w:tblCellMar>
          <w:top w:w="0" w:type="dxa"/>
          <w:left w:w="0" w:type="dxa"/>
          <w:bottom w:w="0" w:type="dxa"/>
          <w:right w:w="0" w:type="dxa"/>
        </w:tblCellMar>
      </w:tblPr>
      <w:tblGrid>
        <w:gridCol w:w="1081"/>
        <w:gridCol w:w="2331"/>
        <w:gridCol w:w="1418"/>
        <w:gridCol w:w="1276"/>
        <w:gridCol w:w="1417"/>
        <w:gridCol w:w="927"/>
        <w:gridCol w:w="1335"/>
        <w:gridCol w:w="1365"/>
        <w:gridCol w:w="1335"/>
        <w:gridCol w:w="1335"/>
      </w:tblGrid>
      <w:tr>
        <w:tblPrEx>
          <w:tblLayout w:type="fixed"/>
          <w:tblCellMar>
            <w:top w:w="0" w:type="dxa"/>
            <w:left w:w="0" w:type="dxa"/>
            <w:bottom w:w="0" w:type="dxa"/>
            <w:right w:w="0" w:type="dxa"/>
          </w:tblCellMar>
        </w:tblPrEx>
        <w:tc>
          <w:tcPr>
            <w:tcW w:w="3412"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功能分类科目</w:t>
            </w:r>
          </w:p>
        </w:tc>
        <w:tc>
          <w:tcPr>
            <w:tcW w:w="141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2018年预算安排总计</w:t>
            </w:r>
          </w:p>
        </w:tc>
        <w:tc>
          <w:tcPr>
            <w:tcW w:w="632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科目编码</w:t>
            </w:r>
          </w:p>
        </w:tc>
        <w:tc>
          <w:tcPr>
            <w:tcW w:w="233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科目名称</w:t>
            </w:r>
          </w:p>
        </w:tc>
        <w:tc>
          <w:tcPr>
            <w:tcW w:w="1418" w:type="dxa"/>
            <w:vMerge w:val="continue"/>
            <w:tcBorders>
              <w:top w:val="single" w:color="auto" w:sz="8" w:space="0"/>
              <w:left w:val="single" w:color="auto" w:sz="8" w:space="0"/>
              <w:bottom w:val="single" w:color="auto" w:sz="8" w:space="0"/>
              <w:right w:val="single" w:color="auto" w:sz="8" w:space="0"/>
            </w:tcBorders>
            <w:vAlign w:val="center"/>
          </w:tcP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小计</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经费拨款</w:t>
            </w:r>
          </w:p>
        </w:tc>
        <w:tc>
          <w:tcPr>
            <w:tcW w:w="92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tc>
        <w:tc>
          <w:tcPr>
            <w:tcW w:w="1335" w:type="dxa"/>
            <w:vMerge w:val="continue"/>
            <w:tcBorders>
              <w:top w:val="single" w:color="auto" w:sz="8" w:space="0"/>
              <w:left w:val="single" w:color="auto" w:sz="8" w:space="0"/>
              <w:bottom w:val="single" w:color="auto" w:sz="8" w:space="0"/>
              <w:right w:val="single" w:color="auto" w:sz="8" w:space="0"/>
            </w:tcBorders>
            <w:vAlign w:val="center"/>
          </w:tc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18"/>
                <w:szCs w:val="18"/>
              </w:rPr>
            </w:pPr>
          </w:p>
        </w:tc>
        <w:tc>
          <w:tcPr>
            <w:tcW w:w="233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中国共产党青铜峡市委员会老干部局</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92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p>
        </w:tc>
      </w:tr>
      <w:tr>
        <w:tblPrEx>
          <w:tblLayout w:type="fixed"/>
          <w:tblCellMar>
            <w:top w:w="0" w:type="dxa"/>
            <w:left w:w="0" w:type="dxa"/>
            <w:bottom w:w="0" w:type="dxa"/>
            <w:right w:w="0" w:type="dxa"/>
          </w:tblCellMar>
        </w:tblPrEx>
        <w:trPr>
          <w:trHeight w:val="505"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p>
        </w:tc>
        <w:tc>
          <w:tcPr>
            <w:tcW w:w="233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中国共产党青铜峡市委员会老干部局本级</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2080503</w:t>
            </w:r>
          </w:p>
        </w:tc>
        <w:tc>
          <w:tcPr>
            <w:tcW w:w="233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离退休人员管理机构</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224.67</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224.67</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224.67</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2080103</w:t>
            </w:r>
          </w:p>
        </w:tc>
        <w:tc>
          <w:tcPr>
            <w:tcW w:w="233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机关服务</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2080504</w:t>
            </w:r>
          </w:p>
        </w:tc>
        <w:tc>
          <w:tcPr>
            <w:tcW w:w="233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未归口管理的行政单位离退休</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10.51</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10.51</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10.51</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2210201</w:t>
            </w:r>
          </w:p>
        </w:tc>
        <w:tc>
          <w:tcPr>
            <w:tcW w:w="233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住房公积金</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13.67</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13.67</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13.67</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2080506</w:t>
            </w:r>
          </w:p>
        </w:tc>
        <w:tc>
          <w:tcPr>
            <w:tcW w:w="233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机关事业单位职业年金缴费支出</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8.71</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8.71</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8.71</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09"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2101101</w:t>
            </w:r>
          </w:p>
        </w:tc>
        <w:tc>
          <w:tcPr>
            <w:tcW w:w="233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行政单位医疗</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8.71</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8.71</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8.71</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393"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2080505</w:t>
            </w:r>
          </w:p>
        </w:tc>
        <w:tc>
          <w:tcPr>
            <w:tcW w:w="233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机关事业单位基本养老保险缴费支出</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21.79</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21.79</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21.79</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2101103</w:t>
            </w:r>
          </w:p>
        </w:tc>
        <w:tc>
          <w:tcPr>
            <w:tcW w:w="233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公务员医疗补助</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7.34</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7.34</w:t>
            </w:r>
          </w:p>
        </w:tc>
        <w:tc>
          <w:tcPr>
            <w:tcW w:w="141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7.34</w:t>
            </w:r>
          </w:p>
        </w:tc>
        <w:tc>
          <w:tcPr>
            <w:tcW w:w="92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bl>
    <w:p>
      <w:pPr>
        <w:rPr>
          <w:rFonts w:ascii="仿宋" w:eastAsia="仿宋"/>
          <w:b/>
          <w:kern w:val="0"/>
          <w:sz w:val="32"/>
          <w:szCs w:val="32"/>
        </w:rPr>
      </w:pPr>
    </w:p>
    <w:tbl>
      <w:tblPr>
        <w:tblStyle w:val="5"/>
        <w:tblW w:w="13842" w:type="dxa"/>
        <w:tblInd w:w="93" w:type="dxa"/>
        <w:tblLayout w:type="fixed"/>
        <w:tblCellMar>
          <w:top w:w="0" w:type="dxa"/>
          <w:left w:w="108" w:type="dxa"/>
          <w:bottom w:w="0" w:type="dxa"/>
          <w:right w:w="108" w:type="dxa"/>
        </w:tblCellMar>
      </w:tblPr>
      <w:tblGrid>
        <w:gridCol w:w="1291"/>
        <w:gridCol w:w="626"/>
        <w:gridCol w:w="106"/>
        <w:gridCol w:w="2023"/>
        <w:gridCol w:w="80"/>
        <w:gridCol w:w="965"/>
        <w:gridCol w:w="311"/>
        <w:gridCol w:w="567"/>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宋体" w:cs="宋体"/>
                <w:color w:val="000000"/>
                <w:kern w:val="0"/>
                <w:sz w:val="22"/>
                <w:szCs w:val="22"/>
              </w:rPr>
            </w:pPr>
            <w:r>
              <w:rPr>
                <w:rFonts w:hint="eastAsia" w:ascii="黑体" w:eastAsia="黑体"/>
                <w:kern w:val="0"/>
                <w:sz w:val="32"/>
                <w:szCs w:val="32"/>
              </w:rPr>
              <w:t>三、一般公共预算支出表</w:t>
            </w:r>
          </w:p>
        </w:tc>
        <w:tc>
          <w:tcPr>
            <w:tcW w:w="1593"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jc w:val="center"/>
              <w:rPr>
                <w:rFonts w:ascii="仿宋" w:eastAsia="仿宋"/>
                <w:b/>
                <w:kern w:val="0"/>
                <w:sz w:val="36"/>
                <w:szCs w:val="36"/>
              </w:rPr>
            </w:pPr>
            <w:r>
              <w:rPr>
                <w:rFonts w:hint="eastAsia" w:asci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5" w:hRule="atLeast"/>
        </w:trPr>
        <w:tc>
          <w:tcPr>
            <w:tcW w:w="1917" w:type="dxa"/>
            <w:gridSpan w:val="2"/>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209"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276" w:type="dxa"/>
            <w:gridSpan w:val="2"/>
            <w:tcBorders>
              <w:top w:val="nil"/>
              <w:left w:val="nil"/>
              <w:bottom w:val="single" w:color="auto" w:sz="4" w:space="0"/>
              <w:right w:val="nil"/>
            </w:tcBorders>
          </w:tcPr>
          <w:p>
            <w:pPr>
              <w:widowControl/>
              <w:jc w:val="left"/>
              <w:rPr>
                <w:rFonts w:ascii="宋体" w:cs="宋体"/>
                <w:color w:val="000000"/>
                <w:kern w:val="0"/>
                <w:sz w:val="22"/>
                <w:szCs w:val="22"/>
              </w:rPr>
            </w:pPr>
          </w:p>
        </w:tc>
        <w:tc>
          <w:tcPr>
            <w:tcW w:w="801"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pPr>
              <w:rPr>
                <w:rFonts w:ascii="宋体" w:cs="宋体"/>
                <w:color w:val="000000"/>
                <w:kern w:val="0"/>
                <w:sz w:val="22"/>
                <w:szCs w:val="22"/>
              </w:rPr>
            </w:pPr>
            <w:r>
              <w:rPr>
                <w:rFonts w:hint="eastAsia" w:asci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95" w:hRule="atLeast"/>
        </w:trPr>
        <w:tc>
          <w:tcPr>
            <w:tcW w:w="41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功能分类科目</w:t>
            </w:r>
          </w:p>
        </w:tc>
        <w:tc>
          <w:tcPr>
            <w:tcW w:w="1276" w:type="dxa"/>
            <w:gridSpan w:val="2"/>
            <w:vMerge w:val="restart"/>
            <w:tcBorders>
              <w:top w:val="single" w:color="auto" w:sz="4" w:space="0"/>
              <w:left w:val="nil"/>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2017年执行数</w:t>
            </w:r>
          </w:p>
        </w:tc>
        <w:tc>
          <w:tcPr>
            <w:tcW w:w="524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2018年预算数</w:t>
            </w:r>
          </w:p>
        </w:tc>
        <w:tc>
          <w:tcPr>
            <w:tcW w:w="3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2018年预算数与2017年执行数</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科目编码</w:t>
            </w:r>
          </w:p>
        </w:tc>
        <w:tc>
          <w:tcPr>
            <w:tcW w:w="2209"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科目名称</w:t>
            </w:r>
          </w:p>
        </w:tc>
        <w:tc>
          <w:tcPr>
            <w:tcW w:w="1276" w:type="dxa"/>
            <w:gridSpan w:val="2"/>
            <w:vMerge w:val="continue"/>
            <w:tcBorders>
              <w:left w:val="nil"/>
              <w:bottom w:val="single" w:color="auto" w:sz="4" w:space="0"/>
              <w:right w:val="single" w:color="auto" w:sz="4" w:space="0"/>
            </w:tcBorders>
          </w:tcP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合计</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基本支出</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项目支出</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增减额</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增减%</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209"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4"/>
              </w:rPr>
              <w:t>中国共产党青铜峡市委员会老干部局</w:t>
            </w:r>
            <w:r>
              <w:rPr>
                <w:rFonts w:hint="eastAsia" w:ascii="仿宋" w:eastAsia="仿宋"/>
                <w:b/>
                <w:kern w:val="0"/>
                <w:sz w:val="22"/>
                <w:szCs w:val="22"/>
              </w:rPr>
              <w:t>　</w:t>
            </w:r>
          </w:p>
        </w:tc>
        <w:tc>
          <w:tcPr>
            <w:tcW w:w="1276" w:type="dxa"/>
            <w:gridSpan w:val="2"/>
            <w:tcBorders>
              <w:top w:val="single" w:color="auto" w:sz="4" w:space="0"/>
              <w:left w:val="nil"/>
              <w:bottom w:val="single" w:color="auto" w:sz="4" w:space="0"/>
              <w:right w:val="single" w:color="auto" w:sz="4" w:space="0"/>
            </w:tcBorders>
          </w:tcPr>
          <w:p>
            <w:pPr>
              <w:ind w:firstLine="331" w:firstLineChars="150"/>
              <w:jc w:val="left"/>
              <w:rPr>
                <w:rFonts w:ascii="仿宋" w:eastAsia="仿宋"/>
                <w:b/>
                <w:kern w:val="0"/>
                <w:sz w:val="22"/>
                <w:szCs w:val="22"/>
              </w:rPr>
            </w:pPr>
            <w:r>
              <w:rPr>
                <w:rFonts w:hint="eastAsia" w:ascii="仿宋" w:eastAsia="仿宋"/>
                <w:b/>
                <w:kern w:val="0"/>
                <w:sz w:val="22"/>
                <w:szCs w:val="22"/>
              </w:rPr>
              <w:t>311.3</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297.40</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243.4</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-13.9</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-4.6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2080503</w:t>
            </w:r>
          </w:p>
        </w:tc>
        <w:tc>
          <w:tcPr>
            <w:tcW w:w="2209"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离退休人员管理机构</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248.44</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224.66</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172.66</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-23.78</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-10.58</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2080103</w:t>
            </w:r>
          </w:p>
        </w:tc>
        <w:tc>
          <w:tcPr>
            <w:tcW w:w="2209"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机关服务</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100</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2080504</w:t>
            </w:r>
          </w:p>
        </w:tc>
        <w:tc>
          <w:tcPr>
            <w:tcW w:w="2209"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未归口管理的行政单位离退休</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10.3</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0.21</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1.99</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2210201</w:t>
            </w:r>
          </w:p>
        </w:tc>
        <w:tc>
          <w:tcPr>
            <w:tcW w:w="2209"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住房公积金</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13.8</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-0.13</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-0.95</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2080506</w:t>
            </w:r>
          </w:p>
        </w:tc>
        <w:tc>
          <w:tcPr>
            <w:tcW w:w="2209"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机关事业单位职业年金缴费支出</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4.09</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8.71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8.71</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4.62</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53.04</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2101101</w:t>
            </w:r>
          </w:p>
        </w:tc>
        <w:tc>
          <w:tcPr>
            <w:tcW w:w="2209"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行政单位医疗</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7.8</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8.71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8.71</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0.91</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10.44</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2080505</w:t>
            </w:r>
          </w:p>
        </w:tc>
        <w:tc>
          <w:tcPr>
            <w:tcW w:w="2209"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机关事业单位基本养老保险缴费支出</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21.3　</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21.79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21.79</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0.49</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2.24</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2101103</w:t>
            </w:r>
          </w:p>
        </w:tc>
        <w:tc>
          <w:tcPr>
            <w:tcW w:w="2209"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公务员医疗补助</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5.57　</w:t>
            </w:r>
          </w:p>
        </w:tc>
        <w:tc>
          <w:tcPr>
            <w:tcW w:w="1593"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7.34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7.34</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1.77</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24.11</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rPr>
                <w:rFonts w:ascii="黑体" w:eastAsia="黑体"/>
                <w:kern w:val="0"/>
                <w:sz w:val="32"/>
                <w:szCs w:val="32"/>
              </w:rPr>
            </w:pPr>
            <w:r>
              <w:rPr>
                <w:rFonts w:hint="eastAsia" w:asci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jc w:val="center"/>
              <w:rPr>
                <w:rFonts w:ascii="宋体" w:cs="宋体"/>
                <w:color w:val="000000"/>
                <w:kern w:val="0"/>
                <w:sz w:val="22"/>
                <w:szCs w:val="22"/>
              </w:rPr>
            </w:pPr>
            <w:r>
              <w:rPr>
                <w:rFonts w:hint="eastAsia" w:asci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023" w:type="dxa"/>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045" w:type="dxa"/>
            <w:gridSpan w:val="2"/>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cs="宋体"/>
                <w:color w:val="000000"/>
                <w:kern w:val="0"/>
                <w:sz w:val="22"/>
                <w:szCs w:val="22"/>
              </w:rPr>
            </w:pPr>
            <w:r>
              <w:rPr>
                <w:rFonts w:hint="eastAsia" w:ascii="仿宋" w:eastAsia="仿宋"/>
                <w:kern w:val="0"/>
                <w:sz w:val="28"/>
                <w:szCs w:val="28"/>
              </w:rPr>
              <w:t xml:space="preserve">            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部门经济分类科目</w:t>
            </w:r>
          </w:p>
        </w:tc>
        <w:tc>
          <w:tcPr>
            <w:tcW w:w="9577" w:type="dxa"/>
            <w:gridSpan w:val="19"/>
            <w:tcBorders>
              <w:top w:val="single" w:color="auto" w:sz="4" w:space="0"/>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科目编码</w:t>
            </w:r>
          </w:p>
        </w:tc>
        <w:tc>
          <w:tcPr>
            <w:tcW w:w="2755"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科目名称</w:t>
            </w:r>
          </w:p>
        </w:tc>
        <w:tc>
          <w:tcPr>
            <w:tcW w:w="1923" w:type="dxa"/>
            <w:gridSpan w:val="4"/>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2018年预算安排总计</w:t>
            </w:r>
          </w:p>
        </w:tc>
        <w:tc>
          <w:tcPr>
            <w:tcW w:w="5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tc>
        <w:tc>
          <w:tcPr>
            <w:tcW w:w="2755" w:type="dxa"/>
            <w:gridSpan w:val="3"/>
            <w:vMerge w:val="continue"/>
            <w:tcBorders>
              <w:top w:val="nil"/>
              <w:left w:val="single" w:color="auto" w:sz="4" w:space="0"/>
              <w:bottom w:val="single" w:color="auto" w:sz="4" w:space="0"/>
              <w:right w:val="single" w:color="auto" w:sz="4" w:space="0"/>
            </w:tcBorders>
            <w:vAlign w:val="center"/>
          </w:tcPr>
          <w:p/>
        </w:tc>
        <w:tc>
          <w:tcPr>
            <w:tcW w:w="1923" w:type="dxa"/>
            <w:gridSpan w:val="4"/>
            <w:vMerge w:val="continue"/>
            <w:tcBorders>
              <w:top w:val="nil"/>
              <w:left w:val="single" w:color="auto" w:sz="4" w:space="0"/>
              <w:bottom w:val="single" w:color="auto" w:sz="4" w:space="0"/>
              <w:right w:val="single" w:color="auto" w:sz="4" w:space="0"/>
            </w:tcBorders>
            <w:vAlign w:val="center"/>
          </w:tc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小计</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人员支出</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中国共产党青铜峡市委员会老干部局</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297.40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297.4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249.31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48.09</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54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rPr>
                <w:rFonts w:ascii="仿宋" w:eastAsia="仿宋"/>
                <w:b/>
                <w:kern w:val="0"/>
                <w:sz w:val="24"/>
              </w:rPr>
            </w:pP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中国共产党青铜峡市委员会老干部局本级</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297.40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297.4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249.31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48.09</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54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30101</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基本工资</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69.87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69.87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69.87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30102</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工资补贴</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53.52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53.52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53.52</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30203</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奖  金</w:t>
            </w:r>
          </w:p>
        </w:tc>
        <w:tc>
          <w:tcPr>
            <w:tcW w:w="1923" w:type="dxa"/>
            <w:gridSpan w:val="4"/>
            <w:tcBorders>
              <w:top w:val="nil"/>
              <w:left w:val="nil"/>
              <w:bottom w:val="single" w:color="auto" w:sz="4" w:space="0"/>
              <w:right w:val="single" w:color="auto" w:sz="4" w:space="0"/>
            </w:tcBorders>
            <w:shd w:val="clear" w:color="auto" w:fill="auto"/>
            <w:vAlign w:val="center"/>
          </w:tcPr>
          <w:p>
            <w:pPr>
              <w:ind w:firstLine="552" w:firstLineChars="250"/>
              <w:rPr>
                <w:rFonts w:ascii="仿宋" w:eastAsia="仿宋"/>
                <w:b/>
                <w:kern w:val="0"/>
                <w:sz w:val="22"/>
                <w:szCs w:val="22"/>
              </w:rPr>
            </w:pPr>
            <w:r>
              <w:rPr>
                <w:rFonts w:hint="eastAsia" w:ascii="仿宋" w:eastAsia="仿宋"/>
                <w:b/>
                <w:kern w:val="0"/>
                <w:sz w:val="22"/>
                <w:szCs w:val="22"/>
              </w:rPr>
              <w:t>5.82</w:t>
            </w:r>
          </w:p>
        </w:tc>
        <w:tc>
          <w:tcPr>
            <w:tcW w:w="1559" w:type="dxa"/>
            <w:gridSpan w:val="4"/>
            <w:tcBorders>
              <w:top w:val="nil"/>
              <w:left w:val="nil"/>
              <w:bottom w:val="single" w:color="auto" w:sz="4" w:space="0"/>
              <w:right w:val="single" w:color="auto" w:sz="4" w:space="0"/>
            </w:tcBorders>
            <w:shd w:val="clear" w:color="auto" w:fill="auto"/>
            <w:vAlign w:val="center"/>
          </w:tcPr>
          <w:p>
            <w:pPr>
              <w:ind w:firstLine="442" w:firstLineChars="200"/>
              <w:rPr>
                <w:rFonts w:ascii="仿宋" w:eastAsia="仿宋"/>
                <w:b/>
                <w:kern w:val="0"/>
                <w:sz w:val="22"/>
                <w:szCs w:val="22"/>
              </w:rPr>
            </w:pPr>
            <w:r>
              <w:rPr>
                <w:rFonts w:hint="eastAsia" w:ascii="仿宋" w:eastAsia="仿宋"/>
                <w:b/>
                <w:kern w:val="0"/>
                <w:sz w:val="22"/>
                <w:szCs w:val="22"/>
              </w:rPr>
              <w:t>5.82</w:t>
            </w:r>
          </w:p>
        </w:tc>
        <w:tc>
          <w:tcPr>
            <w:tcW w:w="1701" w:type="dxa"/>
            <w:gridSpan w:val="4"/>
            <w:tcBorders>
              <w:top w:val="nil"/>
              <w:left w:val="nil"/>
              <w:bottom w:val="single" w:color="auto" w:sz="4" w:space="0"/>
              <w:right w:val="single" w:color="auto" w:sz="4" w:space="0"/>
            </w:tcBorders>
            <w:shd w:val="clear" w:color="auto" w:fill="auto"/>
            <w:vAlign w:val="center"/>
          </w:tcPr>
          <w:p>
            <w:pPr>
              <w:ind w:firstLine="442" w:firstLineChars="200"/>
              <w:rPr>
                <w:rFonts w:ascii="仿宋" w:eastAsia="仿宋"/>
                <w:b/>
                <w:kern w:val="0"/>
                <w:sz w:val="22"/>
                <w:szCs w:val="22"/>
              </w:rPr>
            </w:pPr>
            <w:r>
              <w:rPr>
                <w:rFonts w:hint="eastAsia" w:ascii="仿宋" w:eastAsia="仿宋"/>
                <w:b/>
                <w:kern w:val="0"/>
                <w:sz w:val="22"/>
                <w:szCs w:val="22"/>
              </w:rPr>
              <w:t>5.82</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30108</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机关事业单位基本养老保险缴费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21.79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21.79</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21.79</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30109</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职业年金缴费支出</w:t>
            </w:r>
          </w:p>
        </w:tc>
        <w:tc>
          <w:tcPr>
            <w:tcW w:w="1923" w:type="dxa"/>
            <w:gridSpan w:val="4"/>
            <w:tcBorders>
              <w:top w:val="nil"/>
              <w:left w:val="nil"/>
              <w:bottom w:val="single" w:color="auto" w:sz="4" w:space="0"/>
              <w:right w:val="single" w:color="auto" w:sz="4" w:space="0"/>
            </w:tcBorders>
            <w:shd w:val="clear" w:color="auto" w:fill="auto"/>
            <w:vAlign w:val="center"/>
          </w:tcPr>
          <w:p>
            <w:pPr>
              <w:ind w:firstLine="552" w:firstLineChars="250"/>
              <w:rPr>
                <w:rFonts w:ascii="仿宋" w:eastAsia="仿宋"/>
                <w:b/>
                <w:kern w:val="0"/>
                <w:sz w:val="22"/>
                <w:szCs w:val="22"/>
              </w:rPr>
            </w:pPr>
            <w:r>
              <w:rPr>
                <w:rFonts w:hint="eastAsia" w:ascii="仿宋" w:eastAsia="仿宋"/>
                <w:b/>
                <w:kern w:val="0"/>
                <w:sz w:val="22"/>
                <w:szCs w:val="22"/>
              </w:rPr>
              <w:t>8.71</w:t>
            </w:r>
          </w:p>
        </w:tc>
        <w:tc>
          <w:tcPr>
            <w:tcW w:w="1559" w:type="dxa"/>
            <w:gridSpan w:val="4"/>
            <w:tcBorders>
              <w:top w:val="nil"/>
              <w:left w:val="nil"/>
              <w:bottom w:val="single" w:color="auto" w:sz="4" w:space="0"/>
              <w:right w:val="single" w:color="auto" w:sz="4" w:space="0"/>
            </w:tcBorders>
            <w:shd w:val="clear" w:color="auto" w:fill="auto"/>
            <w:vAlign w:val="center"/>
          </w:tcPr>
          <w:p>
            <w:pPr>
              <w:ind w:firstLine="221" w:firstLineChars="100"/>
              <w:jc w:val="center"/>
              <w:rPr>
                <w:rFonts w:ascii="仿宋" w:eastAsia="仿宋"/>
                <w:b/>
                <w:kern w:val="0"/>
                <w:sz w:val="22"/>
                <w:szCs w:val="22"/>
              </w:rPr>
            </w:pPr>
            <w:r>
              <w:rPr>
                <w:rFonts w:hint="eastAsia" w:ascii="仿宋" w:eastAsia="仿宋"/>
                <w:b/>
                <w:kern w:val="0"/>
                <w:sz w:val="22"/>
                <w:szCs w:val="22"/>
              </w:rPr>
              <w:t>8.71</w:t>
            </w:r>
          </w:p>
        </w:tc>
        <w:tc>
          <w:tcPr>
            <w:tcW w:w="1701" w:type="dxa"/>
            <w:gridSpan w:val="4"/>
            <w:tcBorders>
              <w:top w:val="nil"/>
              <w:left w:val="nil"/>
              <w:bottom w:val="single" w:color="auto" w:sz="4" w:space="0"/>
              <w:right w:val="single" w:color="auto" w:sz="4" w:space="0"/>
            </w:tcBorders>
            <w:shd w:val="clear" w:color="auto" w:fill="auto"/>
            <w:vAlign w:val="center"/>
          </w:tcPr>
          <w:p>
            <w:pPr>
              <w:ind w:firstLine="221" w:firstLineChars="100"/>
              <w:jc w:val="center"/>
              <w:rPr>
                <w:rFonts w:ascii="仿宋" w:eastAsia="仿宋"/>
                <w:b/>
                <w:kern w:val="0"/>
                <w:sz w:val="22"/>
                <w:szCs w:val="22"/>
              </w:rPr>
            </w:pPr>
            <w:r>
              <w:rPr>
                <w:rFonts w:hint="eastAsia" w:ascii="仿宋" w:eastAsia="仿宋"/>
                <w:b/>
                <w:kern w:val="0"/>
                <w:sz w:val="22"/>
                <w:szCs w:val="22"/>
              </w:rPr>
              <w:t>8.71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ind w:firstLine="241" w:firstLineChars="100"/>
              <w:rPr>
                <w:rFonts w:ascii="仿宋" w:eastAsia="仿宋"/>
                <w:b/>
                <w:kern w:val="0"/>
                <w:sz w:val="24"/>
              </w:rPr>
            </w:pPr>
            <w:r>
              <w:rPr>
                <w:rFonts w:hint="eastAsia" w:ascii="仿宋" w:eastAsia="仿宋"/>
                <w:b/>
                <w:kern w:val="0"/>
                <w:sz w:val="24"/>
              </w:rPr>
              <w:t>30110</w:t>
            </w:r>
          </w:p>
        </w:tc>
        <w:tc>
          <w:tcPr>
            <w:tcW w:w="2755" w:type="dxa"/>
            <w:gridSpan w:val="3"/>
            <w:tcBorders>
              <w:top w:val="nil"/>
              <w:left w:val="nil"/>
              <w:bottom w:val="single" w:color="auto" w:sz="4" w:space="0"/>
              <w:right w:val="single" w:color="auto" w:sz="4" w:space="0"/>
            </w:tcBorders>
            <w:shd w:val="clear" w:color="auto" w:fill="auto"/>
            <w:vAlign w:val="center"/>
          </w:tcPr>
          <w:p>
            <w:pPr>
              <w:rPr>
                <w:rFonts w:ascii="仿宋" w:eastAsia="仿宋"/>
                <w:b/>
                <w:kern w:val="0"/>
                <w:sz w:val="24"/>
              </w:rPr>
            </w:pPr>
            <w:r>
              <w:rPr>
                <w:rFonts w:hint="eastAsia" w:ascii="仿宋" w:eastAsia="仿宋"/>
                <w:b/>
                <w:kern w:val="0"/>
                <w:sz w:val="24"/>
              </w:rPr>
              <w:t>职工基本医疗保险缴费</w:t>
            </w:r>
          </w:p>
        </w:tc>
        <w:tc>
          <w:tcPr>
            <w:tcW w:w="1923" w:type="dxa"/>
            <w:gridSpan w:val="4"/>
            <w:tcBorders>
              <w:top w:val="nil"/>
              <w:left w:val="nil"/>
              <w:bottom w:val="single" w:color="auto" w:sz="4" w:space="0"/>
              <w:right w:val="single" w:color="auto" w:sz="4" w:space="0"/>
            </w:tcBorders>
            <w:shd w:val="clear" w:color="auto" w:fill="auto"/>
            <w:vAlign w:val="center"/>
          </w:tcPr>
          <w:p>
            <w:pPr>
              <w:ind w:firstLine="552" w:firstLineChars="250"/>
              <w:rPr>
                <w:rFonts w:ascii="仿宋" w:eastAsia="仿宋"/>
                <w:b/>
                <w:kern w:val="0"/>
                <w:sz w:val="22"/>
                <w:szCs w:val="22"/>
              </w:rPr>
            </w:pPr>
            <w:r>
              <w:rPr>
                <w:rFonts w:hint="eastAsia" w:ascii="仿宋" w:eastAsia="仿宋"/>
                <w:b/>
                <w:kern w:val="0"/>
                <w:sz w:val="22"/>
                <w:szCs w:val="22"/>
              </w:rPr>
              <w:t>8.71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8.71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8.71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30111</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公务员医疗补助</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7.34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7.34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7.34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30112</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其他社会保障缴费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1.29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1.29</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1.29</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30113</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住房公积金</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30199</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其他工资福利支出</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21.50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21.50</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21.50</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30201</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办公费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26.45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26.45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26.45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30202</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印刷费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30205</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水费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0.6</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0.6</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0.6</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30206</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电费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30207</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邮电费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0.6</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0.6</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0.6</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30208</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取暖费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3.48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3.48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3.48</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30213</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维修费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30217</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公务接待费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0.85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0.85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0.85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30231</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公务车运行维护费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30299</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其他商品和服务支出</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30239</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其他交通费补助</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9.10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9.10</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9.11</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30301</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4"/>
              </w:rPr>
              <w:t>离休费</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30305</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4"/>
              </w:rPr>
            </w:pPr>
            <w:r>
              <w:rPr>
                <w:rFonts w:hint="eastAsia" w:ascii="仿宋" w:eastAsia="仿宋"/>
                <w:b/>
                <w:kern w:val="0"/>
                <w:sz w:val="22"/>
                <w:szCs w:val="22"/>
              </w:rPr>
              <w:t>遗孀生活补助</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9.58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9.58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9.58</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30307</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医疗费补助</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30399</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其他对个人和家庭的补助</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12</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399</w:t>
            </w:r>
          </w:p>
        </w:tc>
        <w:tc>
          <w:tcPr>
            <w:tcW w:w="2755"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其他支出</w:t>
            </w:r>
          </w:p>
        </w:tc>
        <w:tc>
          <w:tcPr>
            <w:tcW w:w="1923"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r>
              <w:rPr>
                <w:rFonts w:hint="eastAsia" w:ascii="仿宋" w:eastAsia="仿宋"/>
                <w:b/>
                <w:kern w:val="0"/>
                <w:sz w:val="22"/>
                <w:szCs w:val="22"/>
              </w:rPr>
              <w:t>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jc w:val="center"/>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023" w:type="dxa"/>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045" w:type="dxa"/>
            <w:gridSpan w:val="2"/>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cs="宋体"/>
                <w:color w:val="000000"/>
                <w:kern w:val="0"/>
                <w:sz w:val="22"/>
                <w:szCs w:val="22"/>
              </w:rPr>
            </w:pPr>
          </w:p>
        </w:tc>
      </w:tr>
    </w:tbl>
    <w:p>
      <w:pPr>
        <w:rPr>
          <w:rFonts w:ascii="黑体" w:eastAsia="黑体"/>
          <w:kern w:val="0"/>
          <w:sz w:val="24"/>
        </w:rPr>
      </w:pPr>
      <w:r>
        <w:rPr>
          <w:rFonts w:hint="eastAsia" w:ascii="黑体" w:eastAsia="黑体"/>
          <w:kern w:val="0"/>
          <w:sz w:val="32"/>
          <w:szCs w:val="32"/>
        </w:rPr>
        <w:t>五、一般公共预算“三公”经费支出表</w:t>
      </w:r>
    </w:p>
    <w:p>
      <w:pPr>
        <w:widowControl/>
        <w:ind w:firstLine="723" w:firstLineChars="200"/>
        <w:jc w:val="center"/>
        <w:outlineLvl w:val="1"/>
        <w:rPr>
          <w:rFonts w:ascii="仿宋" w:eastAsia="仿宋"/>
          <w:b/>
          <w:kern w:val="0"/>
          <w:sz w:val="36"/>
          <w:szCs w:val="36"/>
        </w:rPr>
      </w:pPr>
      <w:r>
        <w:rPr>
          <w:rFonts w:hint="eastAsia" w:ascii="仿宋" w:eastAsia="仿宋"/>
          <w:b/>
          <w:kern w:val="0"/>
          <w:sz w:val="36"/>
          <w:szCs w:val="36"/>
        </w:rPr>
        <w:t>一般公共预算“三公”经费支出表</w:t>
      </w:r>
    </w:p>
    <w:p>
      <w:pPr>
        <w:widowControl/>
        <w:ind w:firstLine="735"/>
        <w:jc w:val="left"/>
        <w:outlineLvl w:val="1"/>
        <w:rPr>
          <w:rFonts w:ascii="仿宋" w:eastAsia="仿宋"/>
          <w:kern w:val="0"/>
          <w:sz w:val="32"/>
          <w:szCs w:val="32"/>
        </w:rPr>
      </w:pPr>
      <w:r>
        <w:rPr>
          <w:rFonts w:hint="eastAsia" w:ascii="仿宋" w:eastAsia="仿宋"/>
          <w:kern w:val="0"/>
          <w:sz w:val="32"/>
          <w:szCs w:val="32"/>
        </w:rPr>
        <w:t xml:space="preserve">                                                                   单位：万元</w:t>
      </w:r>
    </w:p>
    <w:tbl>
      <w:tblPr>
        <w:tblStyle w:val="5"/>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tc>
        <w:tc>
          <w:tcPr>
            <w:tcW w:w="879" w:type="dxa"/>
            <w:vMerge w:val="continue"/>
            <w:tcBorders>
              <w:top w:val="nil"/>
              <w:left w:val="single" w:color="auto" w:sz="4" w:space="0"/>
              <w:bottom w:val="single" w:color="auto" w:sz="4" w:space="0"/>
              <w:right w:val="single" w:color="auto" w:sz="4" w:space="0"/>
            </w:tcBorders>
            <w:vAlign w:val="center"/>
          </w:tc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79" w:type="dxa"/>
            <w:vMerge w:val="continue"/>
            <w:tcBorders>
              <w:top w:val="nil"/>
              <w:left w:val="single" w:color="auto" w:sz="4" w:space="0"/>
              <w:bottom w:val="single" w:color="auto" w:sz="4" w:space="0"/>
              <w:right w:val="single" w:color="auto" w:sz="4" w:space="0"/>
            </w:tcBorders>
            <w:vAlign w:val="center"/>
          </w:tc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tc>
        <w:tc>
          <w:tcPr>
            <w:tcW w:w="800" w:type="dxa"/>
            <w:vMerge w:val="continue"/>
            <w:tcBorders>
              <w:top w:val="nil"/>
              <w:left w:val="single" w:color="auto" w:sz="4" w:space="0"/>
              <w:bottom w:val="single" w:color="auto" w:sz="4" w:space="0"/>
              <w:right w:val="single" w:color="auto" w:sz="4" w:space="0"/>
            </w:tcBorders>
            <w:vAlign w:val="center"/>
          </w:tcPr>
          <w:p/>
        </w:tc>
        <w:tc>
          <w:tcPr>
            <w:tcW w:w="879" w:type="dxa"/>
            <w:vMerge w:val="continue"/>
            <w:tcBorders>
              <w:top w:val="nil"/>
              <w:left w:val="single" w:color="auto" w:sz="4" w:space="0"/>
              <w:bottom w:val="single" w:color="auto" w:sz="4" w:space="0"/>
              <w:right w:val="single" w:color="auto" w:sz="4" w:space="0"/>
            </w:tcBorders>
            <w:vAlign w:val="center"/>
          </w:tc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b/>
                <w:bCs/>
                <w:kern w:val="0"/>
                <w:sz w:val="22"/>
                <w:szCs w:val="22"/>
              </w:rPr>
            </w:pPr>
            <w:r>
              <w:rPr>
                <w:rFonts w:hint="eastAsia" w:asci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5</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2</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2</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3</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1.58</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1.08</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1.08</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0.5</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1.85</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eastAsia="仿宋" w:cs="宋体"/>
                <w:kern w:val="0"/>
                <w:sz w:val="24"/>
              </w:rPr>
            </w:pPr>
            <w:r>
              <w:rPr>
                <w:rFonts w:hint="eastAsia" w:ascii="仿宋" w:eastAsia="仿宋" w:cs="宋体"/>
                <w:kern w:val="0"/>
                <w:sz w:val="24"/>
              </w:rPr>
              <w:t>0.85</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eastAsia="仿宋" w:cs="宋体"/>
                <w:kern w:val="0"/>
                <w:sz w:val="24"/>
              </w:rPr>
            </w:pPr>
          </w:p>
        </w:tc>
      </w:tr>
    </w:tbl>
    <w:p>
      <w:pPr>
        <w:rPr>
          <w:rFonts w:ascii="黑体" w:eastAsia="黑体"/>
          <w:kern w:val="0"/>
          <w:sz w:val="32"/>
          <w:szCs w:val="32"/>
        </w:rPr>
      </w:pPr>
    </w:p>
    <w:p>
      <w:pPr>
        <w:rPr>
          <w:rFonts w:ascii="黑体" w:eastAsia="黑体"/>
          <w:kern w:val="0"/>
          <w:sz w:val="24"/>
        </w:rPr>
      </w:pPr>
      <w:r>
        <w:rPr>
          <w:rFonts w:hint="eastAsia" w:ascii="黑体" w:eastAsia="黑体"/>
          <w:kern w:val="0"/>
          <w:sz w:val="32"/>
          <w:szCs w:val="32"/>
        </w:rPr>
        <w:t>六、政府性基金预算支出明细表</w:t>
      </w:r>
    </w:p>
    <w:p>
      <w:pPr>
        <w:jc w:val="center"/>
        <w:rPr>
          <w:rFonts w:ascii="仿宋" w:eastAsia="仿宋"/>
          <w:kern w:val="0"/>
          <w:sz w:val="24"/>
        </w:rPr>
      </w:pPr>
      <w:r>
        <w:rPr>
          <w:rFonts w:hint="eastAsia" w:ascii="仿宋" w:eastAsia="仿宋"/>
          <w:b/>
          <w:kern w:val="0"/>
          <w:sz w:val="36"/>
          <w:szCs w:val="36"/>
        </w:rPr>
        <w:t>政府性基金预算支出明细表</w:t>
      </w:r>
    </w:p>
    <w:p>
      <w:pPr>
        <w:rPr>
          <w:rFonts w:ascii="仿宋" w:eastAsia="仿宋"/>
          <w:kern w:val="0"/>
          <w:sz w:val="28"/>
          <w:szCs w:val="28"/>
        </w:rPr>
      </w:pPr>
      <w:r>
        <w:rPr>
          <w:rFonts w:hint="eastAsia" w:ascii="仿宋" w:eastAsia="仿宋"/>
          <w:b/>
          <w:kern w:val="0"/>
          <w:sz w:val="36"/>
          <w:szCs w:val="36"/>
        </w:rPr>
        <w:t xml:space="preserve">                                      </w:t>
      </w:r>
      <w:r>
        <w:rPr>
          <w:rFonts w:hint="eastAsia" w:ascii="仿宋" w:eastAsia="仿宋"/>
          <w:b/>
          <w:kern w:val="0"/>
          <w:sz w:val="28"/>
          <w:szCs w:val="28"/>
        </w:rPr>
        <w:t xml:space="preserve"> </w:t>
      </w:r>
      <w:r>
        <w:rPr>
          <w:rFonts w:hint="eastAsia" w:ascii="仿宋" w:eastAsia="仿宋"/>
          <w:kern w:val="0"/>
          <w:sz w:val="28"/>
          <w:szCs w:val="28"/>
        </w:rPr>
        <w:t>单位：万元</w:t>
      </w:r>
    </w:p>
    <w:tbl>
      <w:tblPr>
        <w:tblStyle w:val="5"/>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eastAsia="仿宋"/>
                <w:kern w:val="0"/>
                <w:sz w:val="24"/>
              </w:rPr>
            </w:pPr>
            <w:r>
              <w:rPr>
                <w:rFonts w:hint="eastAsia" w:asci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2"/>
                <w:szCs w:val="22"/>
              </w:rPr>
            </w:pPr>
            <w:r>
              <w:rPr>
                <w:rFonts w:hint="eastAsia" w:asci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2"/>
                <w:szCs w:val="22"/>
              </w:rPr>
            </w:pPr>
            <w:r>
              <w:rPr>
                <w:rFonts w:hint="eastAsia" w:asci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eastAsia="仿宋"/>
                <w:b/>
                <w:kern w:val="0"/>
                <w:sz w:val="22"/>
                <w:szCs w:val="22"/>
              </w:rPr>
            </w:pPr>
            <w:r>
              <w:rPr>
                <w:rFonts w:hint="eastAsia" w:asci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eastAsia="仿宋"/>
                <w:kern w:val="0"/>
                <w:sz w:val="24"/>
              </w:rPr>
            </w:pP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eastAsia="仿宋"/>
                <w:kern w:val="0"/>
                <w:sz w:val="24"/>
              </w:rPr>
            </w:pP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eastAsia="仿宋"/>
                <w:kern w:val="0"/>
                <w:sz w:val="24"/>
              </w:rPr>
            </w:pP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eastAsia="仿宋"/>
                <w:kern w:val="0"/>
                <w:sz w:val="24"/>
              </w:rPr>
            </w:pP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eastAsia="仿宋"/>
                <w:kern w:val="0"/>
                <w:sz w:val="20"/>
                <w:szCs w:val="20"/>
              </w:rPr>
            </w:pPr>
          </w:p>
        </w:tc>
      </w:tr>
    </w:tbl>
    <w:p>
      <w:pPr>
        <w:rPr>
          <w:rFonts w:ascii="仿宋" w:eastAsia="仿宋"/>
          <w:b/>
          <w:kern w:val="0"/>
          <w:sz w:val="32"/>
          <w:szCs w:val="32"/>
        </w:rPr>
      </w:pPr>
    </w:p>
    <w:p>
      <w:pPr>
        <w:rPr>
          <w:rFonts w:ascii="仿宋" w:eastAsia="仿宋"/>
          <w:kern w:val="0"/>
          <w:sz w:val="32"/>
          <w:szCs w:val="32"/>
        </w:rPr>
      </w:pPr>
      <w:r>
        <w:rPr>
          <w:rFonts w:hint="eastAsia" w:ascii="仿宋" w:eastAsia="仿宋"/>
          <w:kern w:val="0"/>
          <w:sz w:val="32"/>
          <w:szCs w:val="32"/>
        </w:rPr>
        <w:t>注：基本支出预算经济分类科目各单位根据本单位实际据实填写。</w:t>
      </w:r>
    </w:p>
    <w:p>
      <w:pPr>
        <w:rPr>
          <w:rFonts w:ascii="黑体" w:eastAsia="黑体"/>
          <w:kern w:val="0"/>
          <w:sz w:val="24"/>
        </w:rPr>
      </w:pPr>
      <w:r>
        <w:rPr>
          <w:rFonts w:hint="eastAsia" w:ascii="黑体" w:eastAsia="黑体"/>
          <w:kern w:val="0"/>
          <w:sz w:val="32"/>
          <w:szCs w:val="32"/>
        </w:rPr>
        <w:t>七、部门收支预算总表</w:t>
      </w:r>
    </w:p>
    <w:p>
      <w:pPr>
        <w:jc w:val="center"/>
        <w:rPr>
          <w:rFonts w:ascii="仿宋" w:eastAsia="仿宋"/>
          <w:kern w:val="0"/>
          <w:sz w:val="24"/>
        </w:rPr>
      </w:pPr>
      <w:r>
        <w:rPr>
          <w:rFonts w:hint="eastAsia" w:ascii="仿宋" w:eastAsia="仿宋"/>
          <w:b/>
          <w:kern w:val="0"/>
          <w:sz w:val="36"/>
          <w:szCs w:val="36"/>
        </w:rPr>
        <w:t>部门收支预算总表</w:t>
      </w:r>
    </w:p>
    <w:p>
      <w:pPr>
        <w:rPr>
          <w:rFonts w:ascii="仿宋" w:eastAsia="仿宋"/>
          <w:kern w:val="0"/>
          <w:sz w:val="28"/>
          <w:szCs w:val="28"/>
        </w:rPr>
      </w:pPr>
      <w:r>
        <w:rPr>
          <w:rFonts w:hint="eastAsia" w:ascii="仿宋" w:eastAsia="仿宋"/>
          <w:kern w:val="0"/>
          <w:sz w:val="32"/>
          <w:szCs w:val="32"/>
        </w:rPr>
        <w:t xml:space="preserve">                                                                                </w:t>
      </w:r>
      <w:r>
        <w:rPr>
          <w:rFonts w:hint="eastAsia" w:ascii="仿宋" w:eastAsia="仿宋"/>
          <w:kern w:val="0"/>
          <w:sz w:val="28"/>
          <w:szCs w:val="28"/>
        </w:rPr>
        <w:t xml:space="preserve">   单位：万元</w:t>
      </w:r>
    </w:p>
    <w:tbl>
      <w:tblPr>
        <w:tblStyle w:val="5"/>
        <w:tblW w:w="13160" w:type="dxa"/>
        <w:tblInd w:w="1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297．40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267.68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267.68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16.05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16.05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18"/>
                <w:szCs w:val="18"/>
              </w:rPr>
            </w:pPr>
            <w:r>
              <w:rPr>
                <w:rFonts w:hint="eastAsia" w:asci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18"/>
                <w:szCs w:val="18"/>
              </w:rPr>
            </w:pPr>
            <w:r>
              <w:rPr>
                <w:rFonts w:hint="eastAsia" w:asci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18"/>
                <w:szCs w:val="18"/>
              </w:rPr>
            </w:pPr>
            <w:r>
              <w:rPr>
                <w:rFonts w:hint="eastAsia" w:asci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tc>
        <w:tc>
          <w:tcPr>
            <w:tcW w:w="1364" w:type="dxa"/>
            <w:vMerge w:val="continue"/>
            <w:tcBorders>
              <w:left w:val="single" w:color="000000" w:sz="8" w:space="0"/>
              <w:bottom w:val="single" w:color="000000" w:sz="8" w:space="0"/>
              <w:right w:val="single" w:color="000000" w:sz="8" w:space="0"/>
            </w:tcBorders>
            <w:vAlign w:val="center"/>
          </w:tcPr>
          <w:p/>
        </w:tc>
        <w:tc>
          <w:tcPr>
            <w:tcW w:w="3852" w:type="dxa"/>
            <w:vMerge w:val="continue"/>
            <w:tcBorders>
              <w:left w:val="single" w:color="000000" w:sz="8" w:space="0"/>
              <w:bottom w:val="single" w:color="000000" w:sz="8" w:space="0"/>
              <w:right w:val="single" w:color="000000" w:sz="8" w:space="0"/>
            </w:tcBorders>
            <w:vAlign w:val="center"/>
          </w:tc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b/>
                <w:kern w:val="0"/>
                <w:sz w:val="24"/>
              </w:rPr>
            </w:pPr>
            <w:r>
              <w:rPr>
                <w:rFonts w:hint="eastAsia" w:asci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13.67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kern w:val="0"/>
                <w:sz w:val="24"/>
              </w:rPr>
              <w:t>13.67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r>
              <w:rPr>
                <w:rFonts w:hint="eastAsia" w:asci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eastAsia="仿宋"/>
                <w:kern w:val="0"/>
                <w:sz w:val="24"/>
              </w:rPr>
            </w:pPr>
            <w:r>
              <w:rPr>
                <w:rFonts w:hint="eastAsia" w:asci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kern w:val="0"/>
                <w:sz w:val="24"/>
              </w:rPr>
              <w:t>297．40</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color w:val="000000"/>
                <w:kern w:val="0"/>
                <w:sz w:val="22"/>
                <w:szCs w:val="22"/>
              </w:rPr>
              <w:t>支出总计：</w:t>
            </w:r>
            <w:r>
              <w:rPr>
                <w:rFonts w:hint="eastAsia" w:ascii="仿宋" w:eastAsia="仿宋"/>
                <w:kern w:val="0"/>
                <w:sz w:val="24"/>
              </w:rPr>
              <w:t>297．40</w:t>
            </w:r>
          </w:p>
        </w:tc>
      </w:tr>
    </w:tbl>
    <w:p>
      <w:pPr>
        <w:rPr>
          <w:rFonts w:ascii="仿宋" w:eastAsia="仿宋"/>
          <w:b/>
          <w:kern w:val="0"/>
          <w:sz w:val="32"/>
          <w:szCs w:val="32"/>
        </w:rPr>
      </w:pPr>
    </w:p>
    <w:p>
      <w:pPr>
        <w:rPr>
          <w:rFonts w:ascii="仿宋" w:eastAsia="仿宋"/>
          <w:kern w:val="0"/>
          <w:sz w:val="32"/>
          <w:szCs w:val="32"/>
        </w:rPr>
      </w:pPr>
      <w:r>
        <w:rPr>
          <w:rFonts w:hint="eastAsia" w:ascii="仿宋" w:eastAsia="仿宋"/>
          <w:kern w:val="0"/>
          <w:sz w:val="32"/>
          <w:szCs w:val="32"/>
        </w:rPr>
        <w:t>注：支出预算功能科目各单位根据本单位实际据实填写，其他科目删除。</w:t>
      </w:r>
    </w:p>
    <w:p>
      <w:pPr>
        <w:rPr>
          <w:rFonts w:ascii="黑体" w:eastAsia="黑体"/>
          <w:kern w:val="0"/>
          <w:sz w:val="24"/>
        </w:rPr>
      </w:pPr>
      <w:r>
        <w:rPr>
          <w:rFonts w:hint="eastAsia" w:ascii="黑体" w:eastAsia="黑体"/>
          <w:kern w:val="0"/>
          <w:sz w:val="32"/>
          <w:szCs w:val="32"/>
        </w:rPr>
        <w:t>八、部门收入总表</w:t>
      </w:r>
    </w:p>
    <w:p>
      <w:pPr>
        <w:jc w:val="center"/>
        <w:rPr>
          <w:rFonts w:ascii="仿宋" w:eastAsia="仿宋"/>
          <w:kern w:val="0"/>
          <w:sz w:val="32"/>
          <w:szCs w:val="32"/>
        </w:rPr>
      </w:pPr>
      <w:r>
        <w:rPr>
          <w:rFonts w:hint="eastAsia" w:ascii="仿宋" w:eastAsia="仿宋"/>
          <w:b/>
          <w:kern w:val="0"/>
          <w:sz w:val="32"/>
          <w:szCs w:val="32"/>
        </w:rPr>
        <w:t>部门收入总表</w:t>
      </w:r>
    </w:p>
    <w:p>
      <w:pPr>
        <w:rPr>
          <w:rFonts w:ascii="仿宋" w:eastAsia="仿宋"/>
          <w:kern w:val="0"/>
          <w:sz w:val="28"/>
          <w:szCs w:val="28"/>
        </w:rPr>
      </w:pPr>
      <w:r>
        <w:rPr>
          <w:rFonts w:hint="eastAsia" w:ascii="仿宋" w:eastAsia="仿宋"/>
          <w:kern w:val="0"/>
          <w:sz w:val="32"/>
          <w:szCs w:val="32"/>
        </w:rPr>
        <w:t xml:space="preserve">                                                                                         </w:t>
      </w:r>
      <w:r>
        <w:rPr>
          <w:rFonts w:hint="eastAsia" w:ascii="仿宋" w:eastAsia="仿宋"/>
          <w:kern w:val="0"/>
          <w:sz w:val="28"/>
          <w:szCs w:val="28"/>
        </w:rPr>
        <w:t xml:space="preserve"> 单位：万元</w:t>
      </w:r>
    </w:p>
    <w:tbl>
      <w:tblPr>
        <w:tblStyle w:val="5"/>
        <w:tblW w:w="13870" w:type="dxa"/>
        <w:tblInd w:w="10" w:type="dxa"/>
        <w:tblLayout w:type="fixed"/>
        <w:tblCellMar>
          <w:top w:w="0" w:type="dxa"/>
          <w:left w:w="0" w:type="dxa"/>
          <w:bottom w:w="0" w:type="dxa"/>
          <w:right w:w="0" w:type="dxa"/>
        </w:tblCellMar>
      </w:tblPr>
      <w:tblGrid>
        <w:gridCol w:w="1187"/>
        <w:gridCol w:w="2357"/>
        <w:gridCol w:w="851"/>
        <w:gridCol w:w="986"/>
        <w:gridCol w:w="1158"/>
        <w:gridCol w:w="1173"/>
        <w:gridCol w:w="1158"/>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5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功能分类科目</w:t>
            </w:r>
          </w:p>
        </w:tc>
        <w:tc>
          <w:tcPr>
            <w:tcW w:w="851"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合计</w:t>
            </w:r>
          </w:p>
        </w:tc>
        <w:tc>
          <w:tcPr>
            <w:tcW w:w="33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科目编码</w:t>
            </w:r>
          </w:p>
        </w:tc>
        <w:tc>
          <w:tcPr>
            <w:tcW w:w="235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科目名称</w:t>
            </w:r>
          </w:p>
        </w:tc>
        <w:tc>
          <w:tcPr>
            <w:tcW w:w="851" w:type="dxa"/>
            <w:vMerge w:val="continue"/>
            <w:tcBorders>
              <w:top w:val="single" w:color="auto" w:sz="8" w:space="0"/>
              <w:left w:val="single" w:color="auto" w:sz="8" w:space="0"/>
              <w:bottom w:val="single" w:color="auto" w:sz="8" w:space="0"/>
              <w:right w:val="single" w:color="auto" w:sz="8" w:space="0"/>
            </w:tcBorders>
            <w:vAlign w:val="center"/>
          </w:tcP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tc>
        <w:tc>
          <w:tcPr>
            <w:tcW w:w="860" w:type="dxa"/>
            <w:vMerge w:val="continue"/>
            <w:tcBorders>
              <w:top w:val="single" w:color="auto" w:sz="8" w:space="0"/>
              <w:left w:val="single" w:color="auto" w:sz="8" w:space="0"/>
              <w:bottom w:val="single" w:color="auto" w:sz="8" w:space="0"/>
              <w:right w:val="single" w:color="auto" w:sz="8" w:space="0"/>
            </w:tcBorders>
            <w:vAlign w:val="center"/>
          </w:tcPr>
          <w:p/>
        </w:tc>
        <w:tc>
          <w:tcPr>
            <w:tcW w:w="900" w:type="dxa"/>
            <w:vMerge w:val="continue"/>
            <w:tcBorders>
              <w:top w:val="single" w:color="auto" w:sz="8" w:space="0"/>
              <w:left w:val="single" w:color="auto" w:sz="8" w:space="0"/>
              <w:bottom w:val="single" w:color="auto" w:sz="8" w:space="0"/>
              <w:right w:val="single" w:color="auto" w:sz="8" w:space="0"/>
            </w:tcBorders>
            <w:vAlign w:val="center"/>
          </w:tcPr>
          <w:p/>
        </w:tc>
        <w:tc>
          <w:tcPr>
            <w:tcW w:w="1080" w:type="dxa"/>
            <w:vMerge w:val="continue"/>
            <w:tcBorders>
              <w:top w:val="single" w:color="auto" w:sz="8" w:space="0"/>
              <w:left w:val="single" w:color="auto" w:sz="8" w:space="0"/>
              <w:bottom w:val="single" w:color="auto" w:sz="8" w:space="0"/>
              <w:right w:val="single" w:color="auto" w:sz="8" w:space="0"/>
            </w:tcBorders>
            <w:vAlign w:val="center"/>
          </w:tcPr>
          <w:p/>
        </w:tc>
        <w:tc>
          <w:tcPr>
            <w:tcW w:w="1080" w:type="dxa"/>
            <w:vMerge w:val="continue"/>
            <w:tcBorders>
              <w:top w:val="single" w:color="auto" w:sz="8" w:space="0"/>
              <w:left w:val="single" w:color="auto" w:sz="8" w:space="0"/>
              <w:bottom w:val="single" w:color="auto" w:sz="8" w:space="0"/>
              <w:right w:val="single" w:color="auto" w:sz="8" w:space="0"/>
            </w:tcBorders>
            <w:vAlign w:val="center"/>
          </w:tcPr>
          <w:p/>
        </w:tc>
        <w:tc>
          <w:tcPr>
            <w:tcW w:w="1080" w:type="dxa"/>
            <w:vMerge w:val="continue"/>
            <w:tcBorders>
              <w:top w:val="single" w:color="auto" w:sz="8" w:space="0"/>
              <w:left w:val="single" w:color="auto" w:sz="8" w:space="0"/>
              <w:bottom w:val="single" w:color="auto" w:sz="8" w:space="0"/>
              <w:right w:val="single" w:color="auto" w:sz="8" w:space="0"/>
            </w:tcBorders>
            <w:vAlign w:val="center"/>
          </w:tc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18"/>
                <w:szCs w:val="18"/>
              </w:rPr>
            </w:pPr>
          </w:p>
        </w:tc>
        <w:tc>
          <w:tcPr>
            <w:tcW w:w="235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中国共产党青铜峡市委员会老干部局</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中国共产党青铜峡市委员会老干部局本级</w:t>
            </w:r>
          </w:p>
        </w:tc>
        <w:tc>
          <w:tcPr>
            <w:tcW w:w="851"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297.40</w:t>
            </w:r>
          </w:p>
        </w:tc>
        <w:tc>
          <w:tcPr>
            <w:tcW w:w="986"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297.40</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297.40</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2080503</w:t>
            </w:r>
          </w:p>
        </w:tc>
        <w:tc>
          <w:tcPr>
            <w:tcW w:w="235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离退休人员管理机构</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224.67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172.66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172.66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24"/>
              </w:rPr>
            </w:pPr>
            <w:r>
              <w:rPr>
                <w:rFonts w:hint="eastAsia" w:asci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2080103</w:t>
            </w:r>
          </w:p>
        </w:tc>
        <w:tc>
          <w:tcPr>
            <w:tcW w:w="2357"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机关服务</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2080504</w:t>
            </w: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未归口管理的行政单位离退休</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10.51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10.51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10.51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2210201</w:t>
            </w: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住房公积金</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13.67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13.67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13.67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2080506</w:t>
            </w: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机关事业单位职业年金缴费支出</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2101101</w:t>
            </w: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行政单位医疗</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46"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2080505</w:t>
            </w: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机关事业单位基本养老保险缴费支出</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21.79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21.79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21.79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2101103</w:t>
            </w:r>
          </w:p>
        </w:tc>
        <w:tc>
          <w:tcPr>
            <w:tcW w:w="2357"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公务员医疗补助</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7.34　</w:t>
            </w:r>
          </w:p>
        </w:tc>
        <w:tc>
          <w:tcPr>
            <w:tcW w:w="986"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7.34　</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7.34　</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bl>
    <w:p>
      <w:pPr>
        <w:rPr>
          <w:rFonts w:ascii="黑体" w:eastAsia="黑体"/>
          <w:kern w:val="0"/>
          <w:sz w:val="24"/>
        </w:rPr>
      </w:pPr>
      <w:r>
        <w:rPr>
          <w:rFonts w:hint="eastAsia" w:ascii="黑体" w:eastAsia="黑体"/>
          <w:kern w:val="0"/>
          <w:sz w:val="32"/>
          <w:szCs w:val="32"/>
        </w:rPr>
        <w:t>九、部门支出总表</w:t>
      </w:r>
    </w:p>
    <w:p>
      <w:pPr>
        <w:jc w:val="center"/>
        <w:rPr>
          <w:rFonts w:ascii="仿宋" w:eastAsia="仿宋"/>
          <w:b/>
          <w:kern w:val="0"/>
          <w:sz w:val="32"/>
          <w:szCs w:val="32"/>
        </w:rPr>
      </w:pPr>
      <w:r>
        <w:rPr>
          <w:rFonts w:hint="eastAsia" w:ascii="仿宋" w:eastAsia="仿宋"/>
          <w:b/>
          <w:kern w:val="0"/>
          <w:sz w:val="32"/>
          <w:szCs w:val="32"/>
        </w:rPr>
        <w:t>部门支出总表</w:t>
      </w:r>
    </w:p>
    <w:p>
      <w:pPr>
        <w:rPr>
          <w:rFonts w:ascii="仿宋" w:eastAsia="仿宋"/>
          <w:kern w:val="0"/>
          <w:sz w:val="28"/>
          <w:szCs w:val="28"/>
        </w:rPr>
      </w:pPr>
      <w:r>
        <w:rPr>
          <w:rFonts w:hint="eastAsia" w:ascii="仿宋" w:eastAsia="仿宋"/>
          <w:kern w:val="0"/>
          <w:sz w:val="32"/>
          <w:szCs w:val="32"/>
        </w:rPr>
        <w:t xml:space="preserve">                                        </w:t>
      </w:r>
      <w:r>
        <w:rPr>
          <w:rFonts w:hint="eastAsia" w:ascii="仿宋" w:eastAsia="仿宋"/>
          <w:kern w:val="0"/>
          <w:sz w:val="28"/>
          <w:szCs w:val="28"/>
        </w:rPr>
        <w:t xml:space="preserve">                                                    单位：万元</w:t>
      </w:r>
    </w:p>
    <w:tbl>
      <w:tblPr>
        <w:tblStyle w:val="5"/>
        <w:tblW w:w="13150" w:type="dxa"/>
        <w:tblInd w:w="1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eastAsia="仿宋"/>
                <w:kern w:val="0"/>
                <w:sz w:val="24"/>
              </w:rPr>
            </w:pPr>
            <w:r>
              <w:rPr>
                <w:rFonts w:hint="eastAsia" w:asci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24"/>
              </w:rPr>
            </w:pPr>
            <w:r>
              <w:rPr>
                <w:rFonts w:hint="eastAsia" w:asci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18"/>
                <w:szCs w:val="18"/>
              </w:rPr>
            </w:pP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中国共产党青铜峡市委员会老干部局</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54</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中国共产党青铜峡市委员会老干部局本级</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297.40</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54</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2080503</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离退休人员管理机构</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224.67</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243.4</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52</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2080103</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4"/>
              </w:rPr>
            </w:pPr>
            <w:r>
              <w:rPr>
                <w:rFonts w:hint="eastAsia" w:ascii="仿宋" w:eastAsia="仿宋"/>
                <w:b/>
                <w:kern w:val="0"/>
                <w:sz w:val="24"/>
              </w:rPr>
              <w:t>机关服务</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2080504</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未归口管理的行政单位离退休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10.51</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13.67</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2101101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行政单位医疗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8.72</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21.79</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21.79</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2101103</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eastAsia="仿宋"/>
                <w:b/>
                <w:kern w:val="0"/>
                <w:sz w:val="24"/>
              </w:rPr>
            </w:pPr>
            <w:r>
              <w:rPr>
                <w:rFonts w:hint="eastAsia" w:ascii="仿宋" w:eastAsia="仿宋"/>
                <w:b/>
                <w:kern w:val="0"/>
                <w:sz w:val="24"/>
              </w:rPr>
              <w:t>公务员医疗补助</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7.34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r>
              <w:rPr>
                <w:rFonts w:hint="eastAsia" w:ascii="仿宋" w:eastAsia="仿宋"/>
                <w:b/>
                <w:kern w:val="0"/>
                <w:sz w:val="22"/>
                <w:szCs w:val="22"/>
              </w:rPr>
              <w:t>7.34</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eastAsia="仿宋"/>
                <w:b/>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eastAsia="仿宋"/>
                <w:kern w:val="0"/>
                <w:sz w:val="18"/>
                <w:szCs w:val="18"/>
              </w:rPr>
            </w:pPr>
          </w:p>
        </w:tc>
      </w:tr>
    </w:tbl>
    <w:p>
      <w:pPr>
        <w:rPr>
          <w:rFonts w:ascii="仿宋" w:eastAsia="仿宋"/>
        </w:rPr>
      </w:pPr>
    </w:p>
    <w:p>
      <w:pPr>
        <w:ind w:firstLine="716" w:firstLineChars="224"/>
        <w:rPr>
          <w:rFonts w:asci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老干部局2018年部门预算——部门预算情况说明</w:t>
      </w:r>
    </w:p>
    <w:p>
      <w:pPr>
        <w:rPr>
          <w:rFonts w:ascii="仿宋" w:eastAsia="仿宋"/>
          <w:sz w:val="32"/>
          <w:szCs w:val="32"/>
        </w:rPr>
      </w:pPr>
    </w:p>
    <w:p>
      <w:pPr>
        <w:ind w:firstLine="720" w:firstLineChars="225"/>
        <w:rPr>
          <w:rFonts w:ascii="黑体" w:eastAsia="黑体"/>
          <w:sz w:val="32"/>
          <w:szCs w:val="32"/>
        </w:rPr>
      </w:pPr>
      <w:r>
        <w:rPr>
          <w:rFonts w:hint="eastAsia" w:ascii="黑体" w:eastAsia="黑体"/>
          <w:sz w:val="32"/>
          <w:szCs w:val="32"/>
        </w:rPr>
        <w:t>一、关于老干部局2018年财政拨款收支预算情况的总体说明</w:t>
      </w:r>
    </w:p>
    <w:p>
      <w:pPr>
        <w:ind w:firstLine="720" w:firstLineChars="225"/>
        <w:rPr>
          <w:rFonts w:ascii="仿宋" w:eastAsia="仿宋"/>
          <w:sz w:val="32"/>
          <w:szCs w:val="32"/>
        </w:rPr>
      </w:pPr>
      <w:r>
        <w:rPr>
          <w:rFonts w:hint="eastAsia" w:ascii="仿宋" w:eastAsia="仿宋"/>
          <w:sz w:val="32"/>
          <w:szCs w:val="32"/>
        </w:rPr>
        <w:t>老干部局2018年财政拨款收支总预算 297.40   万元。收入预算包括：一般公共预算拨款  297.40  万元，政府性基金预算拨款 0 万元。预算支出总额为297.40万元，其中：基本支出243.40万元，包括人员支出223.31万元，（工资性支出124.41，工资性补贴50.48万元，社会保障缴费47.84万元，其他人员经费0.57万元），：公用经费支出20.09万元，项目支出54万元。</w:t>
      </w:r>
    </w:p>
    <w:p>
      <w:pPr>
        <w:ind w:firstLine="720" w:firstLineChars="225"/>
        <w:rPr>
          <w:rFonts w:ascii="黑体" w:eastAsia="黑体"/>
          <w:sz w:val="32"/>
          <w:szCs w:val="32"/>
        </w:rPr>
      </w:pPr>
      <w:r>
        <w:rPr>
          <w:rFonts w:hint="eastAsia" w:ascii="黑体" w:eastAsia="黑体"/>
          <w:sz w:val="32"/>
          <w:szCs w:val="32"/>
        </w:rPr>
        <w:t>二、关于老干部局2018年一般公共预算拨款情况说明</w:t>
      </w:r>
    </w:p>
    <w:p>
      <w:pPr>
        <w:ind w:firstLine="723" w:firstLineChars="225"/>
        <w:rPr>
          <w:rFonts w:ascii="楷体" w:eastAsia="楷体"/>
          <w:b/>
          <w:sz w:val="32"/>
          <w:szCs w:val="32"/>
        </w:rPr>
      </w:pPr>
      <w:r>
        <w:rPr>
          <w:rFonts w:hint="eastAsia" w:ascii="楷体" w:eastAsia="楷体"/>
          <w:b/>
          <w:sz w:val="32"/>
          <w:szCs w:val="32"/>
        </w:rPr>
        <w:t>（一）基本支出情况说明。</w:t>
      </w:r>
    </w:p>
    <w:p>
      <w:pPr>
        <w:ind w:firstLine="720" w:firstLineChars="225"/>
        <w:rPr>
          <w:rFonts w:ascii="仿宋" w:eastAsia="仿宋"/>
          <w:sz w:val="32"/>
          <w:szCs w:val="32"/>
        </w:rPr>
      </w:pPr>
      <w:r>
        <w:rPr>
          <w:rFonts w:hint="eastAsia" w:ascii="仿宋" w:eastAsia="仿宋"/>
          <w:sz w:val="32"/>
          <w:szCs w:val="32"/>
        </w:rPr>
        <w:t>老干部局2018年一般公共预算拨款基本支出 243.40 万元，比2017年执行数据增加18.32  万元，增长8,1  %。其中：</w:t>
      </w:r>
    </w:p>
    <w:p>
      <w:pPr>
        <w:ind w:firstLine="720" w:firstLineChars="225"/>
        <w:rPr>
          <w:rFonts w:ascii="仿宋" w:eastAsia="仿宋"/>
          <w:sz w:val="32"/>
          <w:szCs w:val="32"/>
        </w:rPr>
      </w:pPr>
      <w:r>
        <w:rPr>
          <w:rFonts w:hint="eastAsia" w:ascii="仿宋" w:eastAsia="仿宋"/>
          <w:sz w:val="32"/>
          <w:szCs w:val="32"/>
        </w:rPr>
        <w:t>人员经费  223.31 万元，主要包括：基本工资124.40万元、津贴补贴50.48万元、社会保障缴费47.84万元、伙食补助费、其他工资福利支出、离休费、退休费、抚恤金、生活补助、医疗费、助学金、奖励金、住房公积金、提租补贴、购房补贴、其他对个人和家庭的补助支出；</w:t>
      </w:r>
    </w:p>
    <w:p>
      <w:pPr>
        <w:ind w:firstLine="720" w:firstLineChars="225"/>
        <w:rPr>
          <w:rFonts w:ascii="仿宋" w:eastAsia="仿宋"/>
          <w:sz w:val="32"/>
          <w:szCs w:val="32"/>
        </w:rPr>
      </w:pPr>
      <w:r>
        <w:rPr>
          <w:rFonts w:hint="eastAsia" w:ascii="仿宋" w:eastAsia="仿宋"/>
          <w:sz w:val="32"/>
          <w:szCs w:val="32"/>
        </w:rPr>
        <w:t>公用经费  20.09  万元，主要包括：办公费、印刷费、咨询费、手续费、水费0.6万元、电费0.5万元、邮电费0.6万元、取暖费3.48万元、物业管理费、差旅费、因公出国（境）费、维修（护）费1.5万元、租赁费、会议费、培训费、公务接待费0.85万元、专用材料费、劳务费、委托业务费、工会经费、福利费、公务用车运行维护费1万元、其他交通费、其他商品和服务支出、办公设备购置、专用设备购置。</w:t>
      </w:r>
    </w:p>
    <w:p>
      <w:pPr>
        <w:ind w:firstLine="723" w:firstLineChars="225"/>
        <w:rPr>
          <w:rFonts w:ascii="楷体" w:eastAsia="楷体"/>
          <w:b/>
          <w:sz w:val="32"/>
          <w:szCs w:val="32"/>
        </w:rPr>
      </w:pPr>
      <w:r>
        <w:rPr>
          <w:rFonts w:hint="eastAsia" w:ascii="楷体" w:eastAsia="楷体"/>
          <w:b/>
          <w:sz w:val="32"/>
          <w:szCs w:val="32"/>
        </w:rPr>
        <w:t>（二）项目支出情况说明。</w:t>
      </w:r>
    </w:p>
    <w:p>
      <w:pPr>
        <w:ind w:firstLine="720" w:firstLineChars="225"/>
        <w:rPr>
          <w:rFonts w:ascii="仿宋" w:eastAsia="仿宋"/>
          <w:sz w:val="32"/>
          <w:szCs w:val="32"/>
        </w:rPr>
      </w:pPr>
      <w:r>
        <w:rPr>
          <w:rFonts w:hint="eastAsia" w:ascii="仿宋" w:eastAsia="仿宋"/>
          <w:sz w:val="32"/>
          <w:szCs w:val="32"/>
        </w:rPr>
        <w:t>老干部局2018年一般公共预算拨款项目支出 54  万元，其中：离休干部观摩费2万元，离休干部无固定收入遗孀医疗费3万元，离休干部组织工作经费2万元，离休干部特许费8万元，离休干部体检费4万元，延安精神研究会经费3万元，怡心园管理费2万元，关工委经费2万元，老年大学经费4万元，离休干部干部党支部12万元，企业无固定收入离休干部遗孀生活补助9万元。比2017年执行数据增加14.02   万元，增长35  %。主要用于全市离退休党支部开展各项活动经费。</w:t>
      </w:r>
    </w:p>
    <w:p>
      <w:pPr>
        <w:ind w:firstLine="720" w:firstLineChars="225"/>
        <w:rPr>
          <w:rFonts w:ascii="黑体" w:eastAsia="黑体"/>
          <w:sz w:val="32"/>
          <w:szCs w:val="32"/>
        </w:rPr>
      </w:pPr>
      <w:r>
        <w:rPr>
          <w:rFonts w:hint="eastAsia" w:ascii="黑体" w:eastAsia="黑体"/>
          <w:sz w:val="32"/>
          <w:szCs w:val="32"/>
        </w:rPr>
        <w:t>三、关于老干部局2018年“三公”经费预算情况说明</w:t>
      </w:r>
    </w:p>
    <w:p>
      <w:pPr>
        <w:ind w:firstLine="720" w:firstLineChars="225"/>
        <w:rPr>
          <w:rFonts w:ascii="仿宋" w:eastAsia="仿宋"/>
          <w:sz w:val="32"/>
          <w:szCs w:val="32"/>
        </w:rPr>
      </w:pPr>
      <w:r>
        <w:rPr>
          <w:rFonts w:hint="eastAsia" w:ascii="仿宋" w:eastAsia="仿宋"/>
          <w:sz w:val="32"/>
          <w:szCs w:val="32"/>
        </w:rPr>
        <w:t>老干部局2018年“三公”经费财政拨款预算数为 1.85  万元，其中：因公出国（境）费 0  万元，公务用车购置 0  万元，公务用车运行费 1  万元，公务接待费 0.85  万元。</w:t>
      </w:r>
    </w:p>
    <w:p>
      <w:pPr>
        <w:ind w:firstLine="720" w:firstLineChars="225"/>
        <w:rPr>
          <w:rFonts w:ascii="仿宋" w:eastAsia="仿宋"/>
          <w:sz w:val="32"/>
          <w:szCs w:val="32"/>
        </w:rPr>
      </w:pPr>
      <w:r>
        <w:rPr>
          <w:rFonts w:hint="eastAsia" w:ascii="仿宋" w:eastAsia="仿宋"/>
          <w:sz w:val="32"/>
          <w:szCs w:val="32"/>
        </w:rPr>
        <w:t>2018年“三公”经费财政拨款预算比2017年减少3.15万元，其中：因公出国（境）费增加(减少) 0 万元，公务用车购置费增加（减少）0  万元；公务用车运行费减少1万元，主要原因实行车改严格遵守单位规章制度合理安排，严肃财经纪律；公务接待费减少2.5  万元，主要原因严格按照八项规定执行，严格遵守财经纪律。</w:t>
      </w:r>
    </w:p>
    <w:p>
      <w:pPr>
        <w:ind w:firstLine="720" w:firstLineChars="225"/>
        <w:rPr>
          <w:rFonts w:ascii="黑体" w:eastAsia="黑体"/>
          <w:sz w:val="32"/>
          <w:szCs w:val="32"/>
        </w:rPr>
      </w:pPr>
      <w:r>
        <w:rPr>
          <w:rFonts w:hint="eastAsia" w:ascii="黑体" w:eastAsia="黑体"/>
          <w:sz w:val="32"/>
          <w:szCs w:val="32"/>
        </w:rPr>
        <w:t>四、关于老干部局2018年政府性基金预算拨款情况说明</w:t>
      </w:r>
    </w:p>
    <w:p>
      <w:pPr>
        <w:ind w:firstLine="723" w:firstLineChars="225"/>
        <w:rPr>
          <w:rFonts w:ascii="楷体" w:eastAsia="楷体"/>
          <w:b/>
          <w:sz w:val="32"/>
          <w:szCs w:val="32"/>
        </w:rPr>
      </w:pPr>
      <w:r>
        <w:rPr>
          <w:rFonts w:hint="eastAsia" w:ascii="楷体" w:eastAsia="楷体"/>
          <w:b/>
          <w:sz w:val="32"/>
          <w:szCs w:val="32"/>
        </w:rPr>
        <w:t>（一）基本支出情况说明。</w:t>
      </w:r>
    </w:p>
    <w:p>
      <w:pPr>
        <w:ind w:firstLine="720" w:firstLineChars="225"/>
        <w:rPr>
          <w:rFonts w:ascii="仿宋" w:eastAsia="仿宋"/>
          <w:sz w:val="32"/>
          <w:szCs w:val="32"/>
        </w:rPr>
      </w:pPr>
      <w:r>
        <w:rPr>
          <w:rFonts w:hint="eastAsia" w:ascii="仿宋" w:eastAsia="仿宋"/>
          <w:sz w:val="32"/>
          <w:szCs w:val="32"/>
        </w:rPr>
        <w:t>老干部局2018年政府性基金预算拨款基本支出  0 万元, 比2017年执行数据增加0  万元，增长0  %，其中：</w:t>
      </w:r>
    </w:p>
    <w:p>
      <w:pPr>
        <w:ind w:firstLine="720" w:firstLineChars="225"/>
        <w:rPr>
          <w:rFonts w:ascii="仿宋" w:eastAsia="仿宋"/>
          <w:sz w:val="32"/>
          <w:szCs w:val="32"/>
        </w:rPr>
      </w:pPr>
      <w:r>
        <w:rPr>
          <w:rFonts w:hint="eastAsia" w:ascii="仿宋" w:eastAsia="仿宋"/>
          <w:sz w:val="32"/>
          <w:szCs w:val="32"/>
        </w:rPr>
        <w:t>人员经费  0 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eastAsia="仿宋"/>
          <w:sz w:val="32"/>
          <w:szCs w:val="32"/>
        </w:rPr>
      </w:pPr>
      <w:r>
        <w:rPr>
          <w:rFonts w:hint="eastAsia" w:ascii="仿宋" w:eastAsia="仿宋"/>
          <w:sz w:val="32"/>
          <w:szCs w:val="32"/>
        </w:rPr>
        <w:t>公用经费  0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eastAsia="楷体"/>
          <w:b/>
          <w:sz w:val="32"/>
          <w:szCs w:val="32"/>
        </w:rPr>
      </w:pPr>
      <w:r>
        <w:rPr>
          <w:rFonts w:hint="eastAsia" w:ascii="楷体" w:eastAsia="楷体"/>
          <w:b/>
          <w:sz w:val="32"/>
          <w:szCs w:val="32"/>
        </w:rPr>
        <w:t>（二）项目支出情况说明。</w:t>
      </w:r>
    </w:p>
    <w:p>
      <w:pPr>
        <w:ind w:firstLine="720" w:firstLineChars="225"/>
        <w:rPr>
          <w:rFonts w:ascii="仿宋" w:eastAsia="仿宋"/>
          <w:sz w:val="32"/>
          <w:szCs w:val="32"/>
        </w:rPr>
      </w:pPr>
      <w:r>
        <w:rPr>
          <w:rFonts w:hint="eastAsia" w:ascii="仿宋" w:eastAsia="仿宋"/>
          <w:sz w:val="32"/>
          <w:szCs w:val="32"/>
        </w:rPr>
        <w:t>老干部局2018年政府性基金预算拨款项目支出 0 万元,</w:t>
      </w:r>
    </w:p>
    <w:p>
      <w:pPr>
        <w:ind w:firstLine="720" w:firstLineChars="225"/>
        <w:rPr>
          <w:rFonts w:ascii="黑体" w:eastAsia="黑体"/>
          <w:sz w:val="32"/>
          <w:szCs w:val="32"/>
        </w:rPr>
      </w:pPr>
      <w:r>
        <w:rPr>
          <w:rFonts w:hint="eastAsia" w:ascii="黑体" w:eastAsia="黑体"/>
          <w:sz w:val="32"/>
          <w:szCs w:val="32"/>
        </w:rPr>
        <w:t>五、关于老干部局2018年收支预算情况的总体说明</w:t>
      </w:r>
    </w:p>
    <w:p>
      <w:pPr>
        <w:ind w:firstLine="720" w:firstLineChars="225"/>
        <w:rPr>
          <w:rFonts w:ascii="仿宋" w:eastAsia="仿宋"/>
          <w:sz w:val="32"/>
          <w:szCs w:val="32"/>
        </w:rPr>
      </w:pPr>
      <w:r>
        <w:rPr>
          <w:rFonts w:hint="eastAsia" w:ascii="仿宋" w:eastAsia="仿宋"/>
          <w:sz w:val="32"/>
          <w:szCs w:val="32"/>
        </w:rPr>
        <w:t>按照全口径预算的原则，老干部局2018年所有收入和支出均纳入部门预算管理。收入总预算 297.40  万元，支出总预算    297.40万元。</w:t>
      </w:r>
    </w:p>
    <w:p>
      <w:pPr>
        <w:ind w:firstLine="720" w:firstLineChars="225"/>
        <w:rPr>
          <w:rFonts w:ascii="仿宋" w:eastAsia="仿宋"/>
          <w:sz w:val="32"/>
          <w:szCs w:val="32"/>
        </w:rPr>
      </w:pPr>
      <w:r>
        <w:rPr>
          <w:rFonts w:hint="eastAsia" w:ascii="仿宋" w:eastAsia="仿宋"/>
          <w:sz w:val="32"/>
          <w:szCs w:val="32"/>
        </w:rPr>
        <w:t>收入预算包括：上年结转 0  万元，占 0　%；财政拨款收入297.40   万元，占 100 %；事业收入  0 万元，占 0 %；事业单位经营收入  0万元，占0  %；其他收入 0 万元，占0  %。</w:t>
      </w:r>
    </w:p>
    <w:p>
      <w:pPr>
        <w:ind w:firstLine="720" w:firstLineChars="225"/>
        <w:rPr>
          <w:rFonts w:ascii="仿宋" w:eastAsia="仿宋"/>
          <w:sz w:val="32"/>
          <w:szCs w:val="32"/>
        </w:rPr>
      </w:pPr>
      <w:r>
        <w:rPr>
          <w:rFonts w:hint="eastAsia" w:ascii="仿宋" w:eastAsia="仿宋"/>
          <w:sz w:val="32"/>
          <w:szCs w:val="32"/>
        </w:rPr>
        <w:t>支出预算包括：基本支出 243.40 万元，占81.85  %；项目支出 54  万元，占 18.15 %。事业单位经营支出  0 万元，占 0 %；上缴上级支出0  万元，占 0 %；对附属单位补助支出  0万元，占 0 %。</w:t>
      </w:r>
    </w:p>
    <w:p>
      <w:pPr>
        <w:ind w:firstLine="720" w:firstLineChars="225"/>
        <w:rPr>
          <w:rFonts w:ascii="黑体" w:eastAsia="黑体"/>
          <w:sz w:val="32"/>
          <w:szCs w:val="32"/>
        </w:rPr>
      </w:pPr>
      <w:r>
        <w:rPr>
          <w:rFonts w:hint="eastAsia" w:ascii="黑体" w:eastAsia="黑体"/>
          <w:sz w:val="32"/>
          <w:szCs w:val="32"/>
        </w:rPr>
        <w:t>六、其他重要事项的情况说明</w:t>
      </w:r>
    </w:p>
    <w:p>
      <w:pPr>
        <w:widowControl/>
        <w:spacing w:line="560" w:lineRule="exact"/>
        <w:ind w:firstLine="480"/>
        <w:jc w:val="left"/>
        <w:rPr>
          <w:rFonts w:ascii="楷体" w:eastAsia="楷体" w:cs="宋体"/>
          <w:b/>
          <w:kern w:val="0"/>
          <w:sz w:val="32"/>
          <w:szCs w:val="32"/>
        </w:rPr>
      </w:pPr>
      <w:r>
        <w:rPr>
          <w:rFonts w:hint="eastAsia" w:ascii="仿宋" w:eastAsia="仿宋"/>
        </w:rPr>
        <w:t xml:space="preserve">  </w:t>
      </w:r>
      <w:r>
        <w:rPr>
          <w:rFonts w:hint="eastAsia" w:ascii="楷体" w:eastAsia="楷体" w:cs="宋体"/>
          <w:b/>
          <w:kern w:val="0"/>
          <w:sz w:val="32"/>
          <w:szCs w:val="32"/>
        </w:rPr>
        <w:t>（一）机关运行经费</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2018年，老干部局本级预算单位，  1 个行政单位和 1个</w:t>
      </w:r>
      <w:r>
        <w:rPr>
          <w:rFonts w:hint="eastAsia" w:ascii="仿宋" w:eastAsia="仿宋"/>
          <w:color w:val="000000"/>
          <w:kern w:val="0"/>
          <w:sz w:val="32"/>
          <w:szCs w:val="32"/>
        </w:rPr>
        <w:t>参公事业单位老年大学，预算</w:t>
      </w:r>
      <w:r>
        <w:rPr>
          <w:rFonts w:hint="eastAsia" w:ascii="仿宋" w:eastAsia="仿宋" w:cs="宋体"/>
          <w:kern w:val="0"/>
          <w:sz w:val="32"/>
          <w:szCs w:val="32"/>
        </w:rPr>
        <w:t>运行经费财政拨款预算  297.40   万元，比2017年预算增加18.32 万元，增长8.1  %。</w:t>
      </w:r>
    </w:p>
    <w:p>
      <w:pPr>
        <w:widowControl/>
        <w:spacing w:line="560" w:lineRule="exact"/>
        <w:ind w:firstLine="480"/>
        <w:jc w:val="left"/>
        <w:rPr>
          <w:rFonts w:ascii="楷体" w:eastAsia="楷体" w:cs="宋体"/>
          <w:b/>
          <w:kern w:val="0"/>
          <w:sz w:val="32"/>
          <w:szCs w:val="32"/>
        </w:rPr>
      </w:pPr>
      <w:r>
        <w:rPr>
          <w:rFonts w:hint="eastAsia" w:ascii="楷体" w:eastAsia="楷体" w:cs="宋体"/>
          <w:b/>
          <w:kern w:val="0"/>
          <w:sz w:val="32"/>
          <w:szCs w:val="32"/>
        </w:rPr>
        <w:t>（二）政府采购情况</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2018年，老干部局政府采购预算  5 万元，其中：政府采购货物预算5万元，政府采购工程预算 0万元，政府采购服务预算 0万元。</w:t>
      </w:r>
    </w:p>
    <w:p>
      <w:pPr>
        <w:widowControl/>
        <w:spacing w:line="560" w:lineRule="exact"/>
        <w:ind w:firstLine="480"/>
        <w:jc w:val="left"/>
        <w:rPr>
          <w:rFonts w:ascii="楷体" w:eastAsia="楷体" w:cs="宋体"/>
          <w:b/>
          <w:kern w:val="0"/>
          <w:sz w:val="32"/>
          <w:szCs w:val="32"/>
        </w:rPr>
      </w:pPr>
      <w:r>
        <w:rPr>
          <w:rFonts w:hint="eastAsia" w:ascii="楷体" w:eastAsia="楷体" w:cs="宋体"/>
          <w:b/>
          <w:kern w:val="0"/>
          <w:sz w:val="32"/>
          <w:szCs w:val="32"/>
        </w:rPr>
        <w:t>（三）国有资产占用使用情况</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截至2017年12月31日，老干部局占用使用国有资产总体情况为房屋 0平方米，价值0万元；土地 0 平方米，价值 0 万元；车辆1辆，价值 37 万元；办公家具价值 32.54  万元；其他资产价值0万元。国有资产分布情况为：</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本级部门房屋  0 平方米，价值 0万元；土地 0 平方米，价值 0万元；车辆  1辆，价值37 万元；办公家具价值 32.54万元；其他资产价值 0 万元。</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所属单位房屋 0 平方米，价值 0  万元；土地 0 平方米，价值  0  万元；车辆  1辆，价值37  万元；办公家具价值32.54 万元；其他资产价值 0 万元。</w:t>
      </w:r>
    </w:p>
    <w:p>
      <w:pPr>
        <w:widowControl/>
        <w:spacing w:line="560" w:lineRule="exact"/>
        <w:ind w:firstLine="480"/>
        <w:jc w:val="left"/>
        <w:rPr>
          <w:rFonts w:ascii="楷体" w:eastAsia="楷体" w:cs="宋体"/>
          <w:b/>
          <w:kern w:val="0"/>
          <w:sz w:val="32"/>
          <w:szCs w:val="32"/>
        </w:rPr>
      </w:pPr>
      <w:r>
        <w:rPr>
          <w:rFonts w:hint="eastAsia" w:ascii="楷体" w:eastAsia="楷体" w:cs="宋体"/>
          <w:b/>
          <w:kern w:val="0"/>
          <w:sz w:val="32"/>
          <w:szCs w:val="32"/>
        </w:rPr>
        <w:t>（四）预算绩效情况</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2018年老干部局重点项目绩效评价</w:t>
      </w:r>
    </w:p>
    <w:p>
      <w:pPr>
        <w:widowControl/>
        <w:spacing w:line="560" w:lineRule="exact"/>
        <w:ind w:firstLine="639" w:firstLineChars="199"/>
        <w:jc w:val="left"/>
        <w:rPr>
          <w:rFonts w:ascii="楷体" w:eastAsia="楷体" w:cs="宋体"/>
          <w:b/>
          <w:kern w:val="0"/>
          <w:sz w:val="32"/>
          <w:szCs w:val="32"/>
        </w:rPr>
      </w:pPr>
      <w:r>
        <w:rPr>
          <w:rFonts w:hint="eastAsia" w:ascii="楷体" w:eastAsia="楷体" w:cs="宋体"/>
          <w:b/>
          <w:kern w:val="0"/>
          <w:sz w:val="32"/>
          <w:szCs w:val="32"/>
        </w:rPr>
        <w:t>(五)专项转移支付项目申报情况</w:t>
      </w:r>
    </w:p>
    <w:p>
      <w:pPr>
        <w:widowControl/>
        <w:spacing w:line="560" w:lineRule="exact"/>
        <w:ind w:firstLine="480"/>
        <w:jc w:val="left"/>
        <w:rPr>
          <w:rFonts w:ascii="仿宋" w:eastAsia="仿宋" w:cs="宋体"/>
          <w:kern w:val="0"/>
          <w:sz w:val="32"/>
          <w:szCs w:val="32"/>
        </w:rPr>
      </w:pPr>
      <w:r>
        <w:rPr>
          <w:rFonts w:hint="eastAsia" w:ascii="仿宋" w:eastAsia="仿宋" w:cs="宋体"/>
          <w:kern w:val="0"/>
          <w:sz w:val="32"/>
          <w:szCs w:val="32"/>
        </w:rPr>
        <w:t>老干部局无转移</w:t>
      </w:r>
      <w:r>
        <w:rPr>
          <w:rFonts w:ascii="仿宋" w:eastAsia="仿宋" w:cs="宋体"/>
          <w:kern w:val="0"/>
          <w:sz w:val="32"/>
          <w:szCs w:val="32"/>
        </w:rPr>
        <w:t>支付</w:t>
      </w:r>
      <w:r>
        <w:rPr>
          <w:rFonts w:hint="eastAsia" w:ascii="仿宋" w:eastAsia="仿宋" w:cs="宋体"/>
          <w:kern w:val="0"/>
          <w:sz w:val="32"/>
          <w:szCs w:val="32"/>
        </w:rPr>
        <w:t>项目</w:t>
      </w:r>
    </w:p>
    <w:p>
      <w:pPr>
        <w:widowControl/>
        <w:spacing w:line="560" w:lineRule="exact"/>
        <w:ind w:firstLine="480"/>
        <w:jc w:val="left"/>
        <w:rPr>
          <w:rFonts w:ascii="楷体" w:eastAsia="楷体" w:cs="宋体"/>
          <w:b/>
          <w:kern w:val="0"/>
          <w:sz w:val="32"/>
          <w:szCs w:val="32"/>
        </w:rPr>
      </w:pPr>
      <w:r>
        <w:rPr>
          <w:rFonts w:hint="eastAsia" w:ascii="楷体" w:eastAsia="楷体" w:cs="宋体"/>
          <w:b/>
          <w:kern w:val="0"/>
          <w:sz w:val="32"/>
          <w:szCs w:val="32"/>
        </w:rPr>
        <w:t>（六）其他需说明的事项</w:t>
      </w:r>
    </w:p>
    <w:p>
      <w:pPr>
        <w:widowControl/>
        <w:spacing w:line="560" w:lineRule="exact"/>
        <w:ind w:firstLine="480"/>
        <w:jc w:val="left"/>
        <w:rPr>
          <w:rFonts w:ascii="黑体" w:eastAsia="黑体"/>
          <w:sz w:val="32"/>
          <w:szCs w:val="32"/>
        </w:rPr>
      </w:pPr>
    </w:p>
    <w:p>
      <w:pPr>
        <w:widowControl/>
        <w:spacing w:line="560" w:lineRule="exact"/>
        <w:ind w:firstLine="480"/>
        <w:jc w:val="left"/>
        <w:rPr>
          <w:rFonts w:ascii="黑体" w:eastAsia="黑体"/>
          <w:sz w:val="32"/>
          <w:szCs w:val="32"/>
        </w:rPr>
      </w:pPr>
    </w:p>
    <w:p>
      <w:pPr>
        <w:widowControl/>
        <w:spacing w:line="560" w:lineRule="exact"/>
        <w:ind w:firstLine="480"/>
        <w:jc w:val="left"/>
        <w:rPr>
          <w:rFonts w:ascii="黑体" w:eastAsia="黑体"/>
          <w:sz w:val="32"/>
          <w:szCs w:val="32"/>
        </w:rPr>
      </w:pPr>
      <w:r>
        <w:rPr>
          <w:rFonts w:hint="eastAsia" w:ascii="黑体" w:eastAsia="黑体"/>
          <w:sz w:val="32"/>
          <w:szCs w:val="32"/>
        </w:rPr>
        <w:t>老干部局2018年部门预算</w:t>
      </w:r>
      <w:r>
        <w:rPr>
          <w:rFonts w:ascii="黑体" w:eastAsia="黑体"/>
          <w:sz w:val="32"/>
          <w:szCs w:val="32"/>
        </w:rPr>
        <w:t>—</w:t>
      </w:r>
      <w:r>
        <w:rPr>
          <w:rFonts w:hint="eastAsia" w:ascii="黑体" w:eastAsia="黑体"/>
          <w:sz w:val="32"/>
          <w:szCs w:val="32"/>
        </w:rPr>
        <w:t>名词解释</w:t>
      </w:r>
    </w:p>
    <w:p>
      <w:pPr>
        <w:widowControl/>
        <w:spacing w:line="560" w:lineRule="exact"/>
        <w:ind w:firstLine="280" w:firstLineChars="100"/>
        <w:jc w:val="left"/>
        <w:rPr>
          <w:rFonts w:ascii="仿宋" w:hAnsi="仿宋" w:eastAsia="仿宋"/>
          <w:sz w:val="28"/>
          <w:szCs w:val="28"/>
        </w:rPr>
      </w:pPr>
      <w:r>
        <w:rPr>
          <w:rFonts w:hint="eastAsia" w:ascii="仿宋" w:hAnsi="仿宋" w:eastAsia="仿宋"/>
          <w:sz w:val="28"/>
          <w:szCs w:val="28"/>
        </w:rPr>
        <w:t>1、基本支出：指为保障机构正常运转、完成日常工作任务而发生的人员支出和公用支出。包括:</w:t>
      </w:r>
      <w:r>
        <w:rPr>
          <w:rFonts w:hint="eastAsia" w:ascii="仿宋" w:eastAsia="仿宋"/>
          <w:sz w:val="28"/>
          <w:szCs w:val="28"/>
        </w:rPr>
        <w:t> </w:t>
      </w:r>
      <w:r>
        <w:rPr>
          <w:rFonts w:hint="eastAsia" w:ascii="仿宋" w:hAnsi="仿宋" w:eastAsia="仿宋"/>
          <w:sz w:val="28"/>
          <w:szCs w:val="28"/>
        </w:rPr>
        <w:t>1、工资福利支出包括在职职工基本工资、津贴补贴和社会保险缴费。</w:t>
      </w:r>
    </w:p>
    <w:p>
      <w:pPr>
        <w:widowControl/>
        <w:spacing w:line="560" w:lineRule="exact"/>
        <w:jc w:val="left"/>
        <w:rPr>
          <w:rFonts w:ascii="仿宋" w:hAnsi="仿宋" w:eastAsia="仿宋"/>
          <w:sz w:val="28"/>
          <w:szCs w:val="28"/>
        </w:rPr>
      </w:pPr>
      <w:r>
        <w:rPr>
          <w:rFonts w:hint="eastAsia" w:ascii="仿宋" w:hAnsi="仿宋" w:eastAsia="仿宋"/>
          <w:sz w:val="28"/>
          <w:szCs w:val="28"/>
        </w:rPr>
        <w:t xml:space="preserve"> 2、商品和服务包括办公费、印刷费、水电费、邮电费、办公用房取暖费及维修费、公务用车运行维护费、差旅费、会议费、招待费、培训费、其它商品服务支出等</w:t>
      </w:r>
    </w:p>
    <w:p>
      <w:pPr>
        <w:widowControl/>
        <w:spacing w:line="560" w:lineRule="exact"/>
        <w:jc w:val="left"/>
        <w:rPr>
          <w:rFonts w:ascii="仿宋" w:hAnsi="仿宋" w:eastAsia="仿宋"/>
          <w:sz w:val="28"/>
          <w:szCs w:val="28"/>
        </w:rPr>
      </w:pPr>
      <w:r>
        <w:rPr>
          <w:rFonts w:hint="eastAsia" w:ascii="仿宋" w:hAnsi="仿宋" w:eastAsia="仿宋"/>
          <w:sz w:val="28"/>
          <w:szCs w:val="28"/>
        </w:rPr>
        <w:t xml:space="preserve"> 3、对个人和家庭的补助包括离退休人员工资及福利费慰问费、遗属生活补助、在职人员住房公积金及探亲费。</w:t>
      </w:r>
    </w:p>
    <w:p>
      <w:pPr>
        <w:widowControl/>
        <w:spacing w:line="560" w:lineRule="exact"/>
        <w:ind w:firstLine="480"/>
        <w:jc w:val="left"/>
        <w:rPr>
          <w:rFonts w:ascii="仿宋" w:hAnsi="仿宋" w:eastAsia="仿宋"/>
          <w:sz w:val="30"/>
          <w:szCs w:val="30"/>
        </w:rPr>
      </w:pPr>
      <w:r>
        <w:rPr>
          <w:rFonts w:hint="eastAsia" w:ascii="仿宋" w:hAnsi="仿宋" w:eastAsia="仿宋"/>
          <w:sz w:val="28"/>
          <w:szCs w:val="28"/>
        </w:rPr>
        <w:t>项目支出：指在基本支出之外为完成特定行政任务和事业发展目标所发生的支出。</w:t>
      </w:r>
    </w:p>
    <w:p>
      <w:pPr>
        <w:ind w:firstLine="472" w:firstLineChars="225"/>
        <w:rPr>
          <w:rFonts w:ascii="仿宋" w:eastAsia="仿宋"/>
        </w:rPr>
      </w:pPr>
    </w:p>
    <w:p>
      <w:pPr>
        <w:widowControl/>
        <w:spacing w:line="560" w:lineRule="exact"/>
        <w:ind w:firstLine="480"/>
        <w:jc w:val="left"/>
        <w:rPr>
          <w:rFonts w:ascii="仿宋" w:eastAsia="仿宋" w:cs="宋体"/>
          <w:kern w:val="0"/>
          <w:sz w:val="32"/>
          <w:szCs w:val="32"/>
        </w:rPr>
      </w:pPr>
    </w:p>
    <w:p>
      <w:pPr>
        <w:widowControl/>
        <w:spacing w:line="560" w:lineRule="exact"/>
        <w:ind w:firstLine="480"/>
        <w:jc w:val="left"/>
        <w:rPr>
          <w:rFonts w:ascii="仿宋" w:eastAsia="仿宋" w:cs="宋体"/>
          <w:kern w:val="0"/>
          <w:sz w:val="32"/>
          <w:szCs w:val="32"/>
        </w:rPr>
      </w:pPr>
    </w:p>
    <w:p>
      <w:pPr>
        <w:widowControl/>
        <w:spacing w:line="560" w:lineRule="exact"/>
        <w:ind w:firstLine="480"/>
        <w:jc w:val="left"/>
        <w:rPr>
          <w:rFonts w:ascii="仿宋" w:eastAsia="仿宋" w:cs="宋体"/>
          <w:kern w:val="0"/>
          <w:sz w:val="32"/>
          <w:szCs w:val="32"/>
        </w:rPr>
      </w:pPr>
    </w:p>
    <w:p>
      <w:pPr>
        <w:ind w:firstLine="472" w:firstLineChars="225"/>
        <w:rPr>
          <w:rFonts w:ascii="仿宋" w:eastAsia="仿宋"/>
        </w:rPr>
      </w:pPr>
      <w:r>
        <w:rPr>
          <w:rFonts w:hint="eastAsia" w:ascii="仿宋" w:eastAsia="仿宋"/>
        </w:rPr>
        <w:t xml:space="preserve">   </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60"/>
    <w:rsid w:val="000F048B"/>
    <w:rsid w:val="001F52B8"/>
    <w:rsid w:val="00220D95"/>
    <w:rsid w:val="0022508D"/>
    <w:rsid w:val="00225DCC"/>
    <w:rsid w:val="002731F2"/>
    <w:rsid w:val="002D4AA7"/>
    <w:rsid w:val="004653CD"/>
    <w:rsid w:val="004A75D4"/>
    <w:rsid w:val="00544139"/>
    <w:rsid w:val="005D369F"/>
    <w:rsid w:val="0063175F"/>
    <w:rsid w:val="006453BF"/>
    <w:rsid w:val="0067308C"/>
    <w:rsid w:val="00731636"/>
    <w:rsid w:val="00731CDA"/>
    <w:rsid w:val="007564B0"/>
    <w:rsid w:val="007E24A5"/>
    <w:rsid w:val="008179CE"/>
    <w:rsid w:val="00855681"/>
    <w:rsid w:val="00956A7D"/>
    <w:rsid w:val="00AB7531"/>
    <w:rsid w:val="00B50B3D"/>
    <w:rsid w:val="00B60646"/>
    <w:rsid w:val="00BC1460"/>
    <w:rsid w:val="00C30A7A"/>
    <w:rsid w:val="00C40D70"/>
    <w:rsid w:val="00C8508B"/>
    <w:rsid w:val="00CE4D28"/>
    <w:rsid w:val="00D032CA"/>
    <w:rsid w:val="00D11DC6"/>
    <w:rsid w:val="00D9069F"/>
    <w:rsid w:val="00DF0E6F"/>
    <w:rsid w:val="00E14BFC"/>
    <w:rsid w:val="00EC43CA"/>
    <w:rsid w:val="00EF1A70"/>
    <w:rsid w:val="00FD4E81"/>
    <w:rsid w:val="00FD5F53"/>
    <w:rsid w:val="00FE5FB0"/>
    <w:rsid w:val="10EA0C62"/>
    <w:rsid w:val="1B5A3877"/>
    <w:rsid w:val="2719093E"/>
    <w:rsid w:val="43F45B9E"/>
    <w:rsid w:val="4D65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1395</Words>
  <Characters>7958</Characters>
  <Lines>66</Lines>
  <Paragraphs>18</Paragraphs>
  <ScaleCrop>false</ScaleCrop>
  <LinksUpToDate>false</LinksUpToDate>
  <CharactersWithSpaces>9335</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Administrator</cp:lastModifiedBy>
  <cp:lastPrinted>2018-01-05T08:12:00Z</cp:lastPrinted>
  <dcterms:modified xsi:type="dcterms:W3CDTF">2019-02-21T01:09:27Z</dcterms:modified>
  <dc:title>附件</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