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青铜峡市国土资源局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2018年部门预算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eastAsia="zh-CN"/>
        </w:rPr>
        <w:t>（汇总）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2018年1月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kern w:val="0"/>
          <w:sz w:val="32"/>
          <w:szCs w:val="32"/>
        </w:rPr>
      </w:pPr>
    </w:p>
    <w:p>
      <w:pPr>
        <w:rPr>
          <w:rFonts w:ascii="仿宋" w:hAnsi="仿宋" w:eastAsia="仿宋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目</w:t>
      </w:r>
      <w:r>
        <w:rPr>
          <w:rFonts w:hint="eastAsia" w:ascii="宋体" w:hAnsi="宋体" w:eastAsia="方正小标宋简体"/>
          <w:kern w:val="0"/>
          <w:sz w:val="44"/>
          <w:szCs w:val="44"/>
        </w:rPr>
        <w:t> 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 xml:space="preserve"> 录</w:t>
      </w:r>
    </w:p>
    <w:p>
      <w:pPr>
        <w:rPr>
          <w:rFonts w:ascii="仿宋" w:hAnsi="仿宋" w:eastAsia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 单位概况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  2018年部门预算表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一、财政拨款收支预算总表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二、财政拨款支出预算总表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三、一般公共预算支出表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四、一般公共预算基本支出和项目支出部门经济分类科目表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五、一般公共预算基本支出和项目支出政府经济分类科目表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六、一般公共预算“三公”经费支出表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七、政府性基金预算支出明细表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八、部门收支预算总表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九、部门收入总表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十、部门支出总表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 2018年部门预算情况说明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一、关于201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年度收入支出决算总体情况说明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二、关于201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年度收入决算情况说明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三、关于201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年度支出决算情况说明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四、关于201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年度财政拨款收入支出决算总体情况说明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eastAsia="仿宋_GB2312"/>
          <w:spacing w:val="-11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</w:t>
      </w:r>
      <w:r>
        <w:rPr>
          <w:rFonts w:eastAsia="仿宋_GB2312"/>
          <w:spacing w:val="-11"/>
          <w:kern w:val="0"/>
          <w:sz w:val="32"/>
          <w:szCs w:val="32"/>
        </w:rPr>
        <w:t>关于201</w:t>
      </w:r>
      <w:r>
        <w:rPr>
          <w:rFonts w:hint="eastAsia" w:eastAsia="仿宋_GB2312"/>
          <w:spacing w:val="-11"/>
          <w:kern w:val="0"/>
          <w:sz w:val="32"/>
          <w:szCs w:val="32"/>
        </w:rPr>
        <w:t>8</w:t>
      </w:r>
      <w:r>
        <w:rPr>
          <w:rFonts w:eastAsia="仿宋_GB2312"/>
          <w:spacing w:val="-11"/>
          <w:kern w:val="0"/>
          <w:sz w:val="32"/>
          <w:szCs w:val="32"/>
        </w:rPr>
        <w:t>年度一般公共预算财政拨款支出决算情况说明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六、关于201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年度一般公共预算财政拨款基本支出决算情况说明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七、关于201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年度一般公共预算财政拨款“三公”经费支出决算情况说明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八、关于201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年度政府性基金预算财政拨款收入支出决算情况说明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九、其他重要事项的情况说明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（一）机关运行经费支出情况说明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（二）政府采购情况说明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（三）国有资产占有使用情况说明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（四）预算绩效管理工作开展情况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第四部门   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青铜峡市国土资源局2018年部门预算——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3520" w:firstLineChars="800"/>
        <w:jc w:val="both"/>
        <w:textAlignment w:val="auto"/>
        <w:outlineLvl w:val="9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单位概况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主要职能</w:t>
      </w:r>
      <w:r>
        <w:rPr>
          <w:rFonts w:hint="eastAsia" w:eastAsia="黑体"/>
          <w:kern w:val="0"/>
          <w:sz w:val="32"/>
          <w:szCs w:val="32"/>
        </w:rPr>
        <w:t>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1、承担保护和合理利用土地资源、矿产资源的责任；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2、承担规范国土资源管理秩序的责任；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3、承担优化配置国土资源的责任；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4、负责规范国土资源权属管理；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5、承担耕地保护的责任，确保规划确定的耕地保有量和基本农田面积不减少；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6、负责及时准确的提供全市土地利用各种数据；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7、承担节约集约利用土地资源的责任；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8、承担规范国土资源市场秩序的责任；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9、负责矿产资源开发管理；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10、承担地质环境保护的责任；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11、承担地质灾害预防和治理的责任；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12、承担测绘统一监管的责任；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 负责地震监测预报和防震减灾工作；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14、负责全市土地管理体制和土地使用制度改革工作；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15、承担市人民政府交办的其他事项。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kern w:val="0"/>
          <w:sz w:val="32"/>
          <w:szCs w:val="32"/>
        </w:rPr>
        <w:t>部门预算单位构成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从预算单位构成看，市国土资源局预算包括：市国土资源局本级预算（含地震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局、不动产中心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附件：1、国土局2018年预算表</w:t>
      </w:r>
    </w:p>
    <w:p>
      <w:pPr>
        <w:ind w:firstLine="716" w:firstLineChars="224"/>
        <w:rPr>
          <w:rFonts w:ascii="仿宋" w:hAnsi="仿宋" w:eastAsia="仿宋"/>
          <w:kern w:val="0"/>
          <w:sz w:val="32"/>
          <w:szCs w:val="32"/>
        </w:rPr>
        <w:sectPr>
          <w:headerReference r:id="rId3" w:type="default"/>
          <w:pgSz w:w="11906" w:h="16838"/>
          <w:pgMar w:top="1417" w:right="1361" w:bottom="1247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青铜峡市国土资源局2018年部门预算——预算表</w:t>
      </w:r>
    </w:p>
    <w:p>
      <w:pPr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一、财政拨款收支预算总表</w:t>
      </w:r>
    </w:p>
    <w:p>
      <w:pPr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财政拨款收支预算总表</w:t>
      </w:r>
    </w:p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宋体" w:eastAsia="仿宋"/>
          <w:kern w:val="0"/>
          <w:sz w:val="32"/>
          <w:szCs w:val="32"/>
        </w:rPr>
        <w:t xml:space="preserve">                                                                       </w:t>
      </w:r>
      <w:r>
        <w:rPr>
          <w:rFonts w:hint="eastAsia" w:ascii="仿宋" w:hAnsi="仿宋" w:eastAsia="仿宋"/>
          <w:kern w:val="0"/>
          <w:sz w:val="28"/>
          <w:szCs w:val="28"/>
        </w:rPr>
        <w:t>单位：万元</w:t>
      </w:r>
    </w:p>
    <w:tbl>
      <w:tblPr>
        <w:tblStyle w:val="9"/>
        <w:tblW w:w="138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6"/>
        <w:gridCol w:w="30"/>
        <w:gridCol w:w="1830"/>
        <w:gridCol w:w="3420"/>
        <w:gridCol w:w="1796"/>
        <w:gridCol w:w="1699"/>
        <w:gridCol w:w="16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rFonts w:hint="eastAsia" w:ascii="宋体" w:hAnsi="宋体" w:eastAsia="仿宋"/>
                <w:b/>
                <w:color w:val="000000"/>
                <w:kern w:val="0"/>
                <w:sz w:val="22"/>
                <w:szCs w:val="22"/>
              </w:rPr>
              <w:t>    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5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rFonts w:hint="eastAsia" w:ascii="宋体" w:hAnsi="宋体" w:eastAsia="仿宋"/>
                <w:b/>
                <w:color w:val="000000"/>
                <w:kern w:val="0"/>
                <w:sz w:val="22"/>
                <w:szCs w:val="22"/>
              </w:rPr>
              <w:t>    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宋体" w:hAnsi="宋体" w:eastAsia="仿宋"/>
                <w:b/>
                <w:color w:val="000000"/>
                <w:kern w:val="0"/>
                <w:sz w:val="22"/>
                <w:szCs w:val="22"/>
              </w:rPr>
              <w:t>   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5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1955.81 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（一）公共预算财政拨款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1725.81 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230 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184.19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184.19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61.54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61.54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2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rFonts w:hint="eastAsia" w:ascii="宋体" w:hAnsi="宋体" w:eastAsia="仿宋"/>
                <w:b/>
                <w:color w:val="000000"/>
                <w:kern w:val="0"/>
                <w:sz w:val="22"/>
                <w:szCs w:val="22"/>
              </w:rPr>
              <w:t>    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rFonts w:hint="eastAsia" w:ascii="宋体" w:hAnsi="宋体" w:eastAsia="仿宋"/>
                <w:b/>
                <w:color w:val="000000"/>
                <w:kern w:val="0"/>
                <w:sz w:val="22"/>
                <w:szCs w:val="22"/>
              </w:rPr>
              <w:t>    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4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（十六)金融支出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（十七）国土海洋气象支出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138.35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138.35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96.36 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96.36 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（二十）国债还本付息支出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（二十一）其他支出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（一）公共预算财政拨款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1104" w:firstLineChars="500"/>
              <w:rPr>
                <w:rFonts w:ascii="仿宋" w:hAnsi="仿宋" w:eastAsia="仿宋"/>
                <w:i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i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i/>
                <w:kern w:val="0"/>
                <w:sz w:val="24"/>
              </w:rPr>
            </w:pPr>
            <w:r>
              <w:rPr>
                <w:rFonts w:hint="eastAsia" w:ascii="仿宋" w:hAnsi="仿宋" w:eastAsia="仿宋"/>
                <w:i/>
                <w:kern w:val="0"/>
                <w:sz w:val="24"/>
              </w:rPr>
              <w:t>1955.81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663" w:firstLineChars="300"/>
              <w:rPr>
                <w:rFonts w:ascii="仿宋" w:hAnsi="仿宋" w:eastAsia="仿宋"/>
                <w:i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i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i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i/>
                <w:color w:val="000000"/>
                <w:kern w:val="0"/>
                <w:sz w:val="22"/>
                <w:szCs w:val="22"/>
              </w:rPr>
              <w:t>1955.81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i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i/>
                <w:color w:val="000000"/>
                <w:kern w:val="0"/>
                <w:sz w:val="22"/>
                <w:szCs w:val="22"/>
              </w:rPr>
              <w:t>1725.81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i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i/>
                <w:color w:val="000000"/>
                <w:kern w:val="0"/>
                <w:sz w:val="22"/>
                <w:szCs w:val="22"/>
              </w:rPr>
              <w:t>230</w:t>
            </w:r>
          </w:p>
        </w:tc>
      </w:tr>
    </w:tbl>
    <w:p>
      <w:pPr>
        <w:rPr>
          <w:rFonts w:ascii="仿宋" w:hAnsi="仿宋" w:eastAsia="仿宋"/>
          <w:i/>
          <w:kern w:val="0"/>
          <w:sz w:val="24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注：支出预算功能科目各单位根据本单位实际据实填写。</w:t>
      </w: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二、财政拨款支出预算总表</w:t>
      </w:r>
    </w:p>
    <w:p>
      <w:pPr>
        <w:jc w:val="center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财政拨款支出预算总表</w:t>
      </w:r>
    </w:p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宋体" w:eastAsia="仿宋"/>
          <w:kern w:val="0"/>
          <w:sz w:val="32"/>
          <w:szCs w:val="32"/>
        </w:rPr>
        <w:t xml:space="preserve">                                      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 单位：万元</w:t>
      </w:r>
    </w:p>
    <w:tbl>
      <w:tblPr>
        <w:tblStyle w:val="9"/>
        <w:tblW w:w="13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027"/>
        <w:gridCol w:w="1336"/>
        <w:gridCol w:w="1336"/>
        <w:gridCol w:w="1335"/>
        <w:gridCol w:w="1335"/>
        <w:gridCol w:w="1335"/>
        <w:gridCol w:w="1365"/>
        <w:gridCol w:w="1335"/>
        <w:gridCol w:w="13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2018年预算安排总计</w:t>
            </w:r>
          </w:p>
        </w:tc>
        <w:tc>
          <w:tcPr>
            <w:tcW w:w="67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政府性基金</w:t>
            </w:r>
          </w:p>
        </w:tc>
        <w:tc>
          <w:tcPr>
            <w:tcW w:w="13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纳入财政专户管理的行政事业性收费安排的拨款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小计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自治区专项转移支付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自治区一般性转移支付</w:t>
            </w:r>
          </w:p>
        </w:tc>
        <w:tc>
          <w:tcPr>
            <w:tcW w:w="13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Style w:val="12"/>
              </w:rPr>
              <w:t>合计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  <w:t>1955.81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  <w:lang w:val="en-US" w:eastAsia="zh-CN"/>
              </w:rPr>
              <w:t>1725.81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1615.81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Style w:val="12"/>
              </w:rPr>
              <w:t>青铜峡市国土资源局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1955.81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658"/>
              </w:tabs>
              <w:jc w:val="left"/>
              <w:textAlignment w:val="center"/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1725.81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1615.81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2"/>
              </w:rPr>
              <w:t>青铜峡市国土资源局本级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1462.71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1232.71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1152.7</w:t>
            </w: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Calibri" w:hAnsi="Calibri" w:cs="Calibri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2200101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3"/>
              </w:rPr>
              <w:t>行政运行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817.47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817.47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37.47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2200499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3"/>
              </w:rPr>
              <w:t>其他地震事务支出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2200105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土地资源调查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2120802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3"/>
              </w:rPr>
              <w:t>土地开发支出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2200106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3"/>
              </w:rPr>
              <w:t>土地资源利用与保护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2200199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3"/>
              </w:rPr>
              <w:t>其他国土资源事务支出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3"/>
              </w:rPr>
              <w:t>住房公积金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62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.36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62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.36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62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.36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2080506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3"/>
              </w:rPr>
              <w:t>机关事业单位职业年金缴费支出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39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.76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39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.76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39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.76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3"/>
              </w:rPr>
              <w:t>行政单位医疗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39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.76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39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.76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39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.76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3"/>
              </w:rPr>
              <w:t>机关事业单位基本养老保险缴费支出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99.42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99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.42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99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.42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2101103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3"/>
              </w:rPr>
              <w:t>公务员医疗补助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8.91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.91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  <w:t>.91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15"/>
                <w:rFonts w:eastAsia="宋体"/>
                <w:lang w:val="en-US" w:eastAsia="zh-CN" w:bidi="ar"/>
              </w:rPr>
              <w:t>青铜峡市不动产登记事务中心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Style w:val="13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4,93</w:t>
            </w:r>
            <w:r>
              <w:rPr>
                <w:rFonts w:hint="eastAsia" w:ascii="Calibri" w:hAnsi="Calibri" w:cs="Calibr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.10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Calibri" w:hAnsi="Calibri" w:cs="Calibr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93.10</w:t>
            </w: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Calibri" w:hAnsi="Calibri" w:cs="Calibr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63.11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2200150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lang w:val="en-US" w:eastAsia="zh-CN"/>
              </w:rPr>
              <w:t>231.06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31.06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lang w:val="en-US" w:eastAsia="zh-CN"/>
              </w:rPr>
              <w:t>201.06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2200199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其他国土资源事务支出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34.1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34.1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34.1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2080506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.86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.86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.86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2101102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32.15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32.15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32.15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3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3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3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3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3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3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3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/>
          <w:b/>
          <w:kern w:val="0"/>
          <w:sz w:val="32"/>
          <w:szCs w:val="32"/>
        </w:rPr>
      </w:pPr>
    </w:p>
    <w:p>
      <w:pPr>
        <w:rPr>
          <w:rFonts w:ascii="仿宋" w:hAnsi="仿宋" w:eastAsia="仿宋"/>
          <w:b/>
          <w:kern w:val="0"/>
          <w:sz w:val="32"/>
          <w:szCs w:val="32"/>
        </w:rPr>
      </w:pPr>
    </w:p>
    <w:p>
      <w:pPr>
        <w:rPr>
          <w:rFonts w:ascii="仿宋" w:hAnsi="仿宋" w:eastAsia="仿宋"/>
          <w:b/>
          <w:kern w:val="0"/>
          <w:sz w:val="32"/>
          <w:szCs w:val="32"/>
        </w:rPr>
      </w:pPr>
    </w:p>
    <w:tbl>
      <w:tblPr>
        <w:tblStyle w:val="9"/>
        <w:tblW w:w="1382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26"/>
        <w:gridCol w:w="106"/>
        <w:gridCol w:w="1553"/>
        <w:gridCol w:w="470"/>
        <w:gridCol w:w="1045"/>
        <w:gridCol w:w="185"/>
        <w:gridCol w:w="693"/>
        <w:gridCol w:w="167"/>
        <w:gridCol w:w="67"/>
        <w:gridCol w:w="792"/>
        <w:gridCol w:w="533"/>
        <w:gridCol w:w="268"/>
        <w:gridCol w:w="363"/>
        <w:gridCol w:w="645"/>
        <w:gridCol w:w="425"/>
        <w:gridCol w:w="159"/>
        <w:gridCol w:w="1259"/>
        <w:gridCol w:w="399"/>
        <w:gridCol w:w="114"/>
        <w:gridCol w:w="102"/>
        <w:gridCol w:w="944"/>
        <w:gridCol w:w="1417"/>
        <w:gridCol w:w="135"/>
        <w:gridCol w:w="84"/>
      </w:tblGrid>
      <w:tr>
        <w:tblPrEx>
          <w:tblLayout w:type="fixed"/>
        </w:tblPrEx>
        <w:trPr>
          <w:gridAfter w:val="1"/>
          <w:wAfter w:w="84" w:type="dxa"/>
          <w:trHeight w:val="495" w:hRule="atLeast"/>
        </w:trPr>
        <w:tc>
          <w:tcPr>
            <w:tcW w:w="61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三、一般公共预算支出表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gridAfter w:val="1"/>
          <w:wAfter w:w="84" w:type="dxa"/>
          <w:trHeight w:val="495" w:hRule="atLeast"/>
        </w:trPr>
        <w:tc>
          <w:tcPr>
            <w:tcW w:w="137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330" w:firstLineChars="1198"/>
              <w:rPr>
                <w:rFonts w:ascii="仿宋" w:hAnsi="仿宋" w:eastAsia="仿宋"/>
                <w:b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kern w:val="0"/>
                <w:sz w:val="36"/>
                <w:szCs w:val="36"/>
              </w:rPr>
              <w:t>一般公共预算支出表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614" w:hRule="atLeast"/>
        </w:trPr>
        <w:tc>
          <w:tcPr>
            <w:tcW w:w="3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0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2017年执行数</w:t>
            </w:r>
          </w:p>
        </w:tc>
        <w:tc>
          <w:tcPr>
            <w:tcW w:w="53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2018年预算数</w:t>
            </w:r>
          </w:p>
        </w:tc>
        <w:tc>
          <w:tcPr>
            <w:tcW w:w="3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2018年预算数与2017年执行数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270" w:hRule="atLeast"/>
        </w:trPr>
        <w:tc>
          <w:tcPr>
            <w:tcW w:w="1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0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增减%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495" w:hRule="atLeast"/>
        </w:trPr>
        <w:tc>
          <w:tcPr>
            <w:tcW w:w="1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青铜峡市国土资源局本级　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3032.26</w:t>
            </w:r>
          </w:p>
        </w:tc>
        <w:tc>
          <w:tcPr>
            <w:tcW w:w="17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1598.33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1183.33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415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1433.93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47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399" w:hRule="atLeast"/>
        </w:trPr>
        <w:tc>
          <w:tcPr>
            <w:tcW w:w="1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2080505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2" w:firstLineChars="200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111.83</w:t>
            </w:r>
          </w:p>
        </w:tc>
        <w:tc>
          <w:tcPr>
            <w:tcW w:w="17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131.58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131.58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19.73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467" w:hRule="atLeast"/>
        </w:trPr>
        <w:tc>
          <w:tcPr>
            <w:tcW w:w="1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2080506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0</w:t>
            </w:r>
          </w:p>
        </w:tc>
        <w:tc>
          <w:tcPr>
            <w:tcW w:w="17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52.62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52.62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52.62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100%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391" w:hRule="atLeast"/>
        </w:trPr>
        <w:tc>
          <w:tcPr>
            <w:tcW w:w="1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2101101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41.22</w:t>
            </w:r>
          </w:p>
        </w:tc>
        <w:tc>
          <w:tcPr>
            <w:tcW w:w="17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52.62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52.62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11.4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327" w:hRule="atLeast"/>
        </w:trPr>
        <w:tc>
          <w:tcPr>
            <w:tcW w:w="1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2101103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5.1</w:t>
            </w:r>
          </w:p>
        </w:tc>
        <w:tc>
          <w:tcPr>
            <w:tcW w:w="17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8.9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8.9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3.8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74%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495" w:hRule="atLeast"/>
        </w:trPr>
        <w:tc>
          <w:tcPr>
            <w:tcW w:w="1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2200101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912.03</w:t>
            </w:r>
          </w:p>
        </w:tc>
        <w:tc>
          <w:tcPr>
            <w:tcW w:w="17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968.54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968.54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86.51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9.4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495" w:hRule="atLeast"/>
        </w:trPr>
        <w:tc>
          <w:tcPr>
            <w:tcW w:w="1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2200105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土地资源调查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3" w:firstLineChars="300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20</w:t>
            </w:r>
          </w:p>
        </w:tc>
        <w:tc>
          <w:tcPr>
            <w:tcW w:w="17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10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501" w:hRule="atLeast"/>
        </w:trPr>
        <w:tc>
          <w:tcPr>
            <w:tcW w:w="1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2200106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土地资源利用与保护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0</w:t>
            </w:r>
          </w:p>
        </w:tc>
        <w:tc>
          <w:tcPr>
            <w:tcW w:w="17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100　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100%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268" w:hRule="atLeast"/>
        </w:trPr>
        <w:tc>
          <w:tcPr>
            <w:tcW w:w="1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2200199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其他国土资源事务支出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2062.99</w:t>
            </w:r>
          </w:p>
        </w:tc>
        <w:tc>
          <w:tcPr>
            <w:tcW w:w="17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-1862.99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495" w:hRule="atLeast"/>
        </w:trPr>
        <w:tc>
          <w:tcPr>
            <w:tcW w:w="1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2200499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其他地震事务支出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5　</w:t>
            </w:r>
          </w:p>
        </w:tc>
        <w:tc>
          <w:tcPr>
            <w:tcW w:w="17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495" w:hRule="atLeast"/>
        </w:trPr>
        <w:tc>
          <w:tcPr>
            <w:tcW w:w="1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2210201　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78.63</w:t>
            </w:r>
          </w:p>
        </w:tc>
        <w:tc>
          <w:tcPr>
            <w:tcW w:w="17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96.53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96.53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19.9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63" w:firstLineChars="300"/>
              <w:jc w:val="both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270" w:hRule="atLeast"/>
        </w:trPr>
        <w:tc>
          <w:tcPr>
            <w:tcW w:w="13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四、一般公共预算财政拨款支出部门经济分类科目表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270" w:hRule="atLeast"/>
        </w:trPr>
        <w:tc>
          <w:tcPr>
            <w:tcW w:w="13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一般公共预算基本支出和项目支出部门经济分类科目表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270" w:hRule="atLeast"/>
        </w:trPr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4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部门经济分类科目</w:t>
            </w:r>
          </w:p>
        </w:tc>
        <w:tc>
          <w:tcPr>
            <w:tcW w:w="957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一般公共预算财政拨款支出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5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2018年预算安排总计</w:t>
            </w:r>
          </w:p>
        </w:tc>
        <w:tc>
          <w:tcPr>
            <w:tcW w:w="51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46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2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小计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人员支出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日常公用支出</w:t>
            </w:r>
          </w:p>
        </w:tc>
        <w:tc>
          <w:tcPr>
            <w:tcW w:w="246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30101　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　基本工资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395.53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395.53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395.53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3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30102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津贴补贴　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42" w:firstLineChars="300"/>
              <w:jc w:val="both"/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124.09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124.09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  <w:lang w:val="en-US" w:eastAsia="zh-CN"/>
              </w:rPr>
              <w:t>124.09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30103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奖金　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6.24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6.24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6.24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30107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0" w:firstLineChars="50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绩效工资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225.45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225.45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225.45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30108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131.57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131.57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131.57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30109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机关事业单位职业年金缴费支出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52.62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52.62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52.62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30110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52.62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52.62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52.62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30111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8.9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8.9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8.9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30112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其他社会保障费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63" w:firstLineChars="300"/>
              <w:jc w:val="both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7.77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42" w:firstLineChars="200"/>
              <w:jc w:val="both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7.77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63" w:firstLineChars="300"/>
              <w:jc w:val="both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7.77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30113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82.35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82.35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82.35</w:t>
            </w:r>
          </w:p>
        </w:tc>
        <w:tc>
          <w:tcPr>
            <w:tcW w:w="1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30199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150.81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150.81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150.81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　30201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.5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.5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.5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30202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印刷费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.2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.2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.2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30205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30206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30207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30208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取暖费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6.2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6.2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6.2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30211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30213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维护费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30216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0.7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0.7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0.7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30217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63" w:firstLineChars="300"/>
              <w:jc w:val="both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63" w:firstLineChars="300"/>
              <w:jc w:val="both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63" w:firstLineChars="300"/>
              <w:jc w:val="both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30231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公务用车维护费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2.4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2.4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2.4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30239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30299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其他商品服务与支出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93.1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93.1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93.1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30305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1.8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1.8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1.8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30999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其他基本建设支出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130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130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130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39999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其他支出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35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35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35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30226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Calibri" w:hAnsi="Calibri" w:eastAsia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  <w:lang w:val="en-US" w:eastAsia="zh-CN"/>
              </w:rPr>
              <w:t>劳务费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31002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Calibri" w:hAnsi="Calibri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  <w:lang w:eastAsia="zh-CN"/>
              </w:rPr>
              <w:t>办公设备购置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31007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Calibri" w:hAnsi="Calibri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  <w:lang w:eastAsia="zh-CN"/>
              </w:rPr>
              <w:t>信息网络及软件购置更新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170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170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43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40" w:firstLineChars="300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1725.82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  <w:lang w:val="en-US" w:eastAsia="zh-CN"/>
              </w:rPr>
              <w:t>1725.82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五、一般公共预算“三公”经费支出表</w:t>
      </w:r>
    </w:p>
    <w:p>
      <w:pPr>
        <w:widowControl/>
        <w:ind w:firstLine="723" w:firstLineChars="200"/>
        <w:jc w:val="center"/>
        <w:outlineLvl w:val="1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一般公共预算“三公”经费支出表</w:t>
      </w:r>
    </w:p>
    <w:p>
      <w:pPr>
        <w:widowControl/>
        <w:ind w:firstLine="735"/>
        <w:jc w:val="lef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9"/>
        <w:tblW w:w="146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2017年预算数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2017年执行数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15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1.5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3.5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3.5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3.74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3.74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3.5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0.24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3.1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3.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2.4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2.4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kern w:val="0"/>
          <w:sz w:val="32"/>
          <w:szCs w:val="32"/>
        </w:rPr>
      </w:pPr>
    </w:p>
    <w:p>
      <w:pPr>
        <w:rPr>
          <w:rFonts w:ascii="黑体" w:hAnsi="黑体" w:eastAsia="黑体"/>
          <w:kern w:val="0"/>
          <w:sz w:val="32"/>
          <w:szCs w:val="32"/>
        </w:rPr>
      </w:pPr>
    </w:p>
    <w:p>
      <w:pPr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六、政府性基金预算支出明细表</w:t>
      </w:r>
    </w:p>
    <w:p>
      <w:pPr>
        <w:ind w:firstLine="4145" w:firstLineChars="1147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政府性基金预算支出明细表</w:t>
      </w:r>
    </w:p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宋体" w:eastAsia="仿宋"/>
          <w:b/>
          <w:kern w:val="0"/>
          <w:sz w:val="36"/>
          <w:szCs w:val="36"/>
        </w:rPr>
        <w:t>                       </w:t>
      </w:r>
      <w:r>
        <w:rPr>
          <w:rFonts w:hint="eastAsia" w:ascii="仿宋" w:hAnsi="仿宋" w:eastAsia="仿宋"/>
          <w:kern w:val="0"/>
          <w:sz w:val="28"/>
          <w:szCs w:val="28"/>
        </w:rPr>
        <w:t>单位：万元</w:t>
      </w:r>
    </w:p>
    <w:tbl>
      <w:tblPr>
        <w:tblStyle w:val="9"/>
        <w:tblW w:w="15157" w:type="dxa"/>
        <w:tblInd w:w="-8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82"/>
        <w:gridCol w:w="9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2018年预算安排总计</w:t>
            </w:r>
          </w:p>
        </w:tc>
        <w:tc>
          <w:tcPr>
            <w:tcW w:w="109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982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小计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债务利息及费用支出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资本性支出（基本建设）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资本性支出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对企业补助（基本建设）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对企业补助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对社会保障基金补助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2120802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土地开发支出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230.00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注：基本支出预算经济分类科目各单位根据本单位实际据实填写。</w:t>
      </w:r>
    </w:p>
    <w:p>
      <w:pPr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七、部门收支预算总表</w:t>
      </w:r>
    </w:p>
    <w:p>
      <w:pPr>
        <w:jc w:val="center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部门收支预算总表</w:t>
      </w:r>
    </w:p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宋体" w:eastAsia="仿宋"/>
          <w:kern w:val="0"/>
          <w:sz w:val="32"/>
          <w:szCs w:val="32"/>
        </w:rPr>
        <w:t>                           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 单位：万元</w:t>
      </w:r>
    </w:p>
    <w:tbl>
      <w:tblPr>
        <w:tblStyle w:val="9"/>
        <w:tblW w:w="131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2"/>
        <w:gridCol w:w="1364"/>
        <w:gridCol w:w="3852"/>
        <w:gridCol w:w="1364"/>
        <w:gridCol w:w="1364"/>
        <w:gridCol w:w="13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rFonts w:hint="eastAsia" w:ascii="宋体" w:hAnsi="宋体" w:eastAsia="仿宋"/>
                <w:b/>
                <w:color w:val="000000"/>
                <w:kern w:val="0"/>
                <w:sz w:val="22"/>
                <w:szCs w:val="22"/>
              </w:rPr>
              <w:t>    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rFonts w:hint="eastAsia" w:ascii="宋体" w:hAnsi="宋体" w:eastAsia="仿宋"/>
                <w:b/>
                <w:color w:val="000000"/>
                <w:kern w:val="0"/>
                <w:sz w:val="22"/>
                <w:szCs w:val="22"/>
              </w:rPr>
              <w:t>    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宋体" w:hAnsi="宋体" w:eastAsia="仿宋"/>
                <w:b/>
                <w:color w:val="000000"/>
                <w:kern w:val="0"/>
                <w:sz w:val="22"/>
                <w:szCs w:val="22"/>
              </w:rPr>
              <w:t>   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</w:tblPrEx>
        <w:tc>
          <w:tcPr>
            <w:tcW w:w="38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1955.82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（一）公共预算财政拨款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725.82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230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184.19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184.19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61.54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61.51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230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2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rFonts w:hint="eastAsia" w:ascii="宋体" w:hAnsi="宋体" w:eastAsia="仿宋"/>
                <w:b/>
                <w:color w:val="000000"/>
                <w:kern w:val="0"/>
                <w:sz w:val="22"/>
                <w:szCs w:val="22"/>
              </w:rPr>
              <w:t>    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rFonts w:hint="eastAsia" w:ascii="宋体" w:hAnsi="宋体" w:eastAsia="仿宋"/>
                <w:b/>
                <w:color w:val="000000"/>
                <w:kern w:val="0"/>
                <w:sz w:val="22"/>
                <w:szCs w:val="22"/>
              </w:rPr>
              <w:t>    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85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136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5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85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385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（十六)金融支出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（十七）国土海洋气象支出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982.48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982.48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623.36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623.36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（二十）国债还本付息支出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401.06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401.06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（二十一）其他支出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34.17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34.17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其中：公共预算财政拨款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其中：公共预算财政拨款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1955.82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val="en-US" w:eastAsia="zh-CN"/>
              </w:rPr>
              <w:t>1955.82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val="en-US" w:eastAsia="zh-CN"/>
              </w:rPr>
              <w:t>1725.82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　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八、部门收入总表</w:t>
      </w:r>
    </w:p>
    <w:p>
      <w:pPr>
        <w:ind w:firstLine="5461" w:firstLineChars="17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部门收入总表</w:t>
      </w:r>
    </w:p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宋体" w:eastAsia="仿宋"/>
          <w:kern w:val="0"/>
          <w:sz w:val="32"/>
          <w:szCs w:val="32"/>
        </w:rPr>
        <w:t>                         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单位：万元</w:t>
      </w:r>
    </w:p>
    <w:tbl>
      <w:tblPr>
        <w:tblStyle w:val="9"/>
        <w:tblW w:w="13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878"/>
        <w:gridCol w:w="1056"/>
        <w:gridCol w:w="1035"/>
        <w:gridCol w:w="1275"/>
        <w:gridCol w:w="1545"/>
        <w:gridCol w:w="1020"/>
        <w:gridCol w:w="915"/>
        <w:gridCol w:w="870"/>
        <w:gridCol w:w="1110"/>
        <w:gridCol w:w="1035"/>
        <w:gridCol w:w="1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功能分类科目</w:t>
            </w:r>
          </w:p>
        </w:tc>
        <w:tc>
          <w:tcPr>
            <w:tcW w:w="10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合计</w:t>
            </w:r>
          </w:p>
        </w:tc>
        <w:tc>
          <w:tcPr>
            <w:tcW w:w="38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财政拨款收入</w:t>
            </w:r>
          </w:p>
        </w:tc>
        <w:tc>
          <w:tcPr>
            <w:tcW w:w="10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事业收入</w:t>
            </w: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事业单位经营收入</w:t>
            </w:r>
          </w:p>
        </w:tc>
        <w:tc>
          <w:tcPr>
            <w:tcW w:w="8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上级补助收入</w:t>
            </w:r>
          </w:p>
        </w:tc>
        <w:tc>
          <w:tcPr>
            <w:tcW w:w="11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下级单位上缴收入</w:t>
            </w:r>
          </w:p>
        </w:tc>
        <w:tc>
          <w:tcPr>
            <w:tcW w:w="10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其他收入</w:t>
            </w: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科目编码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科目名称</w:t>
            </w:r>
          </w:p>
        </w:tc>
        <w:tc>
          <w:tcPr>
            <w:tcW w:w="10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小计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公共财政预算拨款收入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政府性基金预算拨款收入</w:t>
            </w: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18"/>
                <w:szCs w:val="18"/>
              </w:rPr>
              <w:t>青铜峡市国土资源局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1955.82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1725.81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1495.81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18"/>
                <w:szCs w:val="18"/>
              </w:rPr>
              <w:t xml:space="preserve">  青铜峡市国土资源局本级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1955.82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1725.81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1495.81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2200101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行政运行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1048.53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1048.53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1048.53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2200499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其他地震事务支出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2200105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土地资源调查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30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30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2120802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土地开发支出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230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230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2200106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土地资源利用与保护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100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100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2200199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其他国土资源事务支出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住房公积金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96.53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96.53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96.53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2080506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机关事业单位职业年金缴费支出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52.63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52.63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52.63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行政单位医疗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52.63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52.63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52.63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机关事业单位基本养老保险缴费支出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131.15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131.58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131.58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2101103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公务员医疗补助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8.91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8.91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8.91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十、部门支出总表</w:t>
      </w:r>
    </w:p>
    <w:p>
      <w:pPr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部门支出总表</w:t>
      </w:r>
    </w:p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宋体" w:eastAsia="仿宋"/>
          <w:kern w:val="0"/>
          <w:sz w:val="32"/>
          <w:szCs w:val="32"/>
        </w:rPr>
        <w:t>                          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eastAsia" w:ascii="仿宋" w:hAnsi="仿宋" w:eastAsia="仿宋"/>
          <w:kern w:val="0"/>
          <w:sz w:val="28"/>
          <w:szCs w:val="28"/>
        </w:rPr>
        <w:t>单位：万元</w:t>
      </w:r>
    </w:p>
    <w:tbl>
      <w:tblPr>
        <w:tblStyle w:val="9"/>
        <w:tblW w:w="131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2835"/>
        <w:gridCol w:w="1740"/>
        <w:gridCol w:w="1740"/>
        <w:gridCol w:w="1361"/>
        <w:gridCol w:w="1589"/>
        <w:gridCol w:w="1440"/>
        <w:gridCol w:w="1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基本支出</w:t>
            </w:r>
          </w:p>
        </w:tc>
        <w:tc>
          <w:tcPr>
            <w:tcW w:w="13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项目支出</w:t>
            </w:r>
          </w:p>
        </w:tc>
        <w:tc>
          <w:tcPr>
            <w:tcW w:w="15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上缴上级支出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事业单位经营支出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对下级单位补助支出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科目编码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2200101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行政运行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1048.54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968.54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80</w:t>
            </w:r>
          </w:p>
        </w:tc>
        <w:tc>
          <w:tcPr>
            <w:tcW w:w="1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2200499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其他地震事务支出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1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2200105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土地资源调查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30</w:t>
            </w:r>
          </w:p>
        </w:tc>
        <w:tc>
          <w:tcPr>
            <w:tcW w:w="1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2120802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土地开发支出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230</w:t>
            </w:r>
          </w:p>
        </w:tc>
        <w:tc>
          <w:tcPr>
            <w:tcW w:w="1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2200106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土地资源利用与保护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100</w:t>
            </w:r>
          </w:p>
        </w:tc>
        <w:tc>
          <w:tcPr>
            <w:tcW w:w="1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2200199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其他国土资源事务支出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住房公积金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96.53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96.53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2080506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机关事业单位职业年金缴费支出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52.63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52.63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行政单位医疗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52.63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52.63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Style w:val="14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131.15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131.58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   2101103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4"/>
              </w:rPr>
            </w:pPr>
            <w:r>
              <w:rPr>
                <w:rStyle w:val="14"/>
              </w:rPr>
              <w:t>公务员医疗补助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8.91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8.91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ind w:firstLine="716" w:firstLineChars="224"/>
        <w:rPr>
          <w:rFonts w:ascii="仿宋" w:hAnsi="仿宋" w:eastAsia="仿宋"/>
          <w:kern w:val="0"/>
          <w:sz w:val="32"/>
          <w:szCs w:val="32"/>
        </w:rPr>
        <w:sectPr>
          <w:pgSz w:w="16838" w:h="11906" w:orient="landscape"/>
          <w:pgMar w:top="1417" w:right="1418" w:bottom="1247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青铜峡市国土资源局2018年部门预算——部门预算情况说明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（汇总）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一、关于2018年财政拨款收支预算情况的总体说明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2018年财政拨款收入总预算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1955.81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元。收入预算包括：财政预算拨款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1615.81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万元，纳入预算管理的行政事业性收费拨款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万元，纳入财政专户管理的行政事业收费安排的拨款0元，政府性基金安排230万元。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2018年预算支出总额：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1955.81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万元。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  <w:t>包括：社会保障和就业支出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  <w:lang w:val="en-US" w:eastAsia="zh-CN"/>
        </w:rPr>
        <w:t>184.2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  <w:t>万元、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  <w:lang w:eastAsia="zh-CN"/>
        </w:rPr>
        <w:t>医疗卫生与计划生育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  <w:t>支出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  <w:lang w:val="en-US" w:eastAsia="zh-CN"/>
        </w:rPr>
        <w:t>61.54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  <w:t>万元、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  <w:lang w:eastAsia="zh-CN"/>
        </w:rPr>
        <w:t>城乡社区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  <w:t>支出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  <w:lang w:val="en-US" w:eastAsia="zh-CN"/>
        </w:rPr>
        <w:t>230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  <w:t>万元、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  <w:lang w:eastAsia="zh-CN"/>
        </w:rPr>
        <w:t>国土海洋气象等支出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  <w:lang w:val="en-US" w:eastAsia="zh-CN"/>
        </w:rPr>
        <w:t>1383.54万元、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  <w:t>住房保障支出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  <w:lang w:val="en-US" w:eastAsia="zh-CN"/>
        </w:rPr>
        <w:t>96.53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二、关于2018年一般公共预算拨款情况说明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3" w:firstLineChars="225"/>
        <w:textAlignment w:val="auto"/>
        <w:outlineLvl w:val="9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（一）基本支出情况说明。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2018年一般公共预算拨款基本支出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1280.81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万元，比2017年执行数据增加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167.01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万元，增长1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%。其中：人员经费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1239.98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万元，主要包括：基本工资、津贴补贴、奖金、社会保障缴费、其他工资福利支出、退休费、抚恤金、生活补助、医疗费、住房公积金、购房补贴、其他对个人和家庭的补助支出；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公用经费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54.6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、其他商品和服务支出、办公设备购置、专用设备购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3" w:firstLineChars="225"/>
        <w:textAlignment w:val="auto"/>
        <w:outlineLvl w:val="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（二）项目支出情况说明。</w:t>
      </w:r>
    </w:p>
    <w:p>
      <w:pPr>
        <w:spacing w:line="520" w:lineRule="exact"/>
        <w:ind w:firstLine="720" w:firstLineChars="225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>2018年一般公共预算拨款项目支出415万元，其中：一般公共服务支出（类）财政事务（款）行政运行（项）2018年预算415万元，比2017年执行数据减少1672.99万元，减少80.12%。主要用于:</w:t>
      </w:r>
      <w:bookmarkStart w:id="0" w:name="_GoBack"/>
      <w:bookmarkEnd w:id="0"/>
    </w:p>
    <w:p>
      <w:pPr>
        <w:spacing w:line="520" w:lineRule="exact"/>
        <w:ind w:firstLine="720" w:firstLineChars="225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>2200101行政运行  2018年财政预算80万元，主要用于非税收入征收工作经费，比2017年增加80万元，增长100%；</w:t>
      </w:r>
    </w:p>
    <w:p>
      <w:pPr>
        <w:spacing w:line="520" w:lineRule="exact"/>
        <w:ind w:firstLine="720" w:firstLineChars="225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>2200105土地资源调查  2018年财政预算30万元，主要用于第三次全国土地调查工作经费，比2017年增加30万元，增长100%；</w:t>
      </w:r>
    </w:p>
    <w:p>
      <w:pPr>
        <w:spacing w:line="520" w:lineRule="exact"/>
        <w:ind w:firstLine="720" w:firstLineChars="225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>2200106土地资源利用与保护    2018年财政预算100万元，主要用于全市城镇土地定级与基准地价更新工作经费，比2017年增加100万元，增长100%；</w:t>
      </w:r>
    </w:p>
    <w:p>
      <w:pPr>
        <w:spacing w:line="520" w:lineRule="exact"/>
        <w:ind w:firstLine="720" w:firstLineChars="225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>2200199  其他国土资源事务支出  2018年财政预算200万元，主要用于土地征收、挂牌、出让等工作经费、不动产登记数据整合及农村宅基地“两证合一”、湿地确权，比2017年减少762.63万元，减少79.22%。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三、关于2018年“三公”经费预算情况说明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2018年“三公”经费财政拨款预算数为3.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万元，其中：因公出国（境）费0万元，公务用车购置0万元，公务用车运行费2.4万元，公务接待费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>
      <w:pPr>
        <w:spacing w:line="520" w:lineRule="exact"/>
        <w:ind w:firstLine="720" w:firstLineChars="225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2018年“三公”经费财政拨款预算比2017年（减少）11.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万元，其中：因公出国（境）费(减少)1.5万元，主要原因：因今年没有出国安排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公务用车购置费增加（减少）0万元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公务用车运行费减少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万元，主要原因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公务用车数量减少及节约、节省公务用车次数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；公务接待费减少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8.5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万元，主要原因落实厉行节约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，按相关规定执行公务接待费减少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spacing w:line="520" w:lineRule="exact"/>
        <w:ind w:firstLine="720" w:firstLineChars="225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2018年公务用车购置数量0辆；公务用车保有量0辆；公务接待11批次100人次。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四、关于2018年政府性基金预算拨款情况说明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3" w:firstLineChars="225"/>
        <w:textAlignment w:val="auto"/>
        <w:outlineLvl w:val="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（一）基本支出情况说明。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2018年政府性基金预算拨款基本支出0万元, 比2017年执行数据增加（减少）0 万元，增长（下降）0  %，其中：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人员经费 0万元，主要包括：基本工资、津贴补贴、奖金、社会保障缴费、伙食补助费、其他工资福利支出、离休费、退休费、抚恤金、生活补助、医疗费、助学金、奖励金、住房公积金、提租补贴、购房补贴、其他对个人和家庭的补助支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用经费0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、其他商品和服务支出、办公设备购置、专用设备购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3" w:firstLineChars="225"/>
        <w:textAlignment w:val="auto"/>
        <w:outlineLvl w:val="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（二）项目支出情况说明。</w:t>
      </w:r>
    </w:p>
    <w:p>
      <w:pPr>
        <w:spacing w:line="520" w:lineRule="exact"/>
        <w:ind w:firstLine="720" w:firstLineChars="225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2018年政府性基金预算拨款项目支出 230万元；土地开发支出2018年预算230万元，比2017年执行数据减少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2500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万元，下降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90.8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 xml:space="preserve"> %。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主要用于土地、矿产资源开发管理。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五、关于</w:t>
      </w:r>
      <w:r>
        <w:rPr>
          <w:rFonts w:hint="eastAsia" w:ascii="仿宋" w:hAnsi="仿宋" w:eastAsia="仿宋"/>
          <w:sz w:val="32"/>
          <w:szCs w:val="32"/>
        </w:rPr>
        <w:t>市国土资源局</w:t>
      </w:r>
      <w:r>
        <w:rPr>
          <w:rFonts w:hint="eastAsia" w:ascii="黑体" w:hAnsi="黑体" w:eastAsia="黑体"/>
          <w:sz w:val="32"/>
          <w:szCs w:val="32"/>
        </w:rPr>
        <w:t>2018年收支预算情况的总体说明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按照全口径预算的原则，市国土资源局2018年所有收入和支出均纳入部门预算管理。收入总预算1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955.81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万元，支出总预算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1955.81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收入预算包括：上年结转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万元，占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%；财政拨款收入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1955.81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万元，占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%；事业收入0万元，占0%；事业单位经营收入 0万元，占0 %；其他收入0万元，占0%。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支出预算包括：基本支出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1555.82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%；项目支出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415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%。事业单位经营支出0万元，占0%；上缴上级支出 0万元，占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%；对附属单位补助支出0万元，占0 %。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720" w:firstLineChars="225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left"/>
        <w:textAlignment w:val="auto"/>
        <w:outlineLvl w:val="9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（一）机关运行经费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2018年，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市国土资源局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 xml:space="preserve">本级及所属行政单位单位的机关运行经费财政拨款预算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54.6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万元，比2017年预算（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14.57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上升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36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left"/>
        <w:textAlignment w:val="auto"/>
        <w:outlineLvl w:val="9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（二）政府采购情况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2018年，政府采购预算 35万元，其中：政府采购货物预算0万元，政府采购工程预算0万元，政府采购服务预算 35万元。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left"/>
        <w:textAlignment w:val="auto"/>
        <w:outlineLvl w:val="9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（三）国有资产占用使用情况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left"/>
        <w:textAlignment w:val="auto"/>
        <w:outlineLvl w:val="9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截至</w:t>
      </w:r>
      <w:r>
        <w:rPr>
          <w:rFonts w:ascii="宋体" w:hAnsi="宋体" w:cs="宋体"/>
          <w:kern w:val="0"/>
          <w:sz w:val="32"/>
          <w:szCs w:val="32"/>
        </w:rPr>
        <w:t>201</w:t>
      </w:r>
      <w:r>
        <w:rPr>
          <w:rFonts w:hint="eastAsia" w:ascii="宋体" w:hAnsi="宋体" w:cs="宋体"/>
          <w:kern w:val="0"/>
          <w:sz w:val="32"/>
          <w:szCs w:val="32"/>
        </w:rPr>
        <w:t>7年</w:t>
      </w:r>
      <w:r>
        <w:rPr>
          <w:rFonts w:ascii="宋体" w:hAnsi="宋体" w:cs="宋体"/>
          <w:kern w:val="0"/>
          <w:sz w:val="32"/>
          <w:szCs w:val="32"/>
        </w:rPr>
        <w:t>12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ascii="宋体" w:hAnsi="宋体" w:cs="宋体"/>
          <w:kern w:val="0"/>
          <w:sz w:val="32"/>
          <w:szCs w:val="32"/>
        </w:rPr>
        <w:t>31</w:t>
      </w:r>
      <w:r>
        <w:rPr>
          <w:rFonts w:hint="eastAsia" w:ascii="宋体" w:hAnsi="宋体" w:cs="宋体"/>
          <w:kern w:val="0"/>
          <w:sz w:val="32"/>
          <w:szCs w:val="32"/>
        </w:rPr>
        <w:t>日，国土局占用使用国有资产总体情况为房屋</w:t>
      </w:r>
      <w:r>
        <w:rPr>
          <w:rFonts w:ascii="宋体" w:hAnsi="宋体" w:cs="宋体"/>
          <w:kern w:val="0"/>
          <w:sz w:val="32"/>
          <w:szCs w:val="32"/>
        </w:rPr>
        <w:t>2931</w:t>
      </w:r>
      <w:r>
        <w:rPr>
          <w:rFonts w:hint="eastAsia" w:ascii="宋体" w:hAnsi="宋体" w:cs="宋体"/>
          <w:kern w:val="0"/>
          <w:sz w:val="32"/>
          <w:szCs w:val="32"/>
        </w:rPr>
        <w:t>平方米，价值</w:t>
      </w:r>
      <w:r>
        <w:rPr>
          <w:rFonts w:ascii="宋体" w:hAnsi="宋体" w:cs="宋体"/>
          <w:kern w:val="0"/>
          <w:sz w:val="32"/>
          <w:szCs w:val="32"/>
        </w:rPr>
        <w:t xml:space="preserve"> 1</w:t>
      </w:r>
      <w:r>
        <w:rPr>
          <w:rFonts w:hint="eastAsia" w:ascii="宋体" w:hAnsi="宋体" w:cs="宋体"/>
          <w:kern w:val="0"/>
          <w:sz w:val="32"/>
          <w:szCs w:val="32"/>
        </w:rPr>
        <w:t>12.60万元；土地</w:t>
      </w:r>
      <w:r>
        <w:rPr>
          <w:rFonts w:ascii="宋体" w:hAnsi="宋体" w:cs="宋体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平方米，办公家具价值29.77万元；其他资产价值219.42万元。国有资产分布情况为：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left"/>
        <w:textAlignment w:val="auto"/>
        <w:outlineLvl w:val="9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本级部门房屋</w:t>
      </w:r>
      <w:r>
        <w:rPr>
          <w:rFonts w:ascii="宋体" w:hAnsi="宋体" w:cs="宋体"/>
          <w:kern w:val="0"/>
          <w:sz w:val="32"/>
          <w:szCs w:val="32"/>
        </w:rPr>
        <w:t>2931</w:t>
      </w:r>
      <w:r>
        <w:rPr>
          <w:rFonts w:hint="eastAsia" w:ascii="宋体" w:hAnsi="宋体" w:cs="宋体"/>
          <w:kern w:val="0"/>
          <w:sz w:val="32"/>
          <w:szCs w:val="32"/>
        </w:rPr>
        <w:t>平方米，价值</w:t>
      </w:r>
      <w:r>
        <w:rPr>
          <w:rFonts w:ascii="宋体" w:hAnsi="宋体" w:cs="宋体"/>
          <w:kern w:val="0"/>
          <w:sz w:val="32"/>
          <w:szCs w:val="32"/>
        </w:rPr>
        <w:t xml:space="preserve"> 11</w:t>
      </w:r>
      <w:r>
        <w:rPr>
          <w:rFonts w:hint="eastAsia" w:ascii="宋体" w:hAnsi="宋体" w:cs="宋体"/>
          <w:kern w:val="0"/>
          <w:sz w:val="32"/>
          <w:szCs w:val="32"/>
        </w:rPr>
        <w:t>2.6万元；土地</w:t>
      </w:r>
      <w:r>
        <w:rPr>
          <w:rFonts w:ascii="宋体" w:hAnsi="宋体" w:cs="宋体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平方米，价值0万元；办公家具价值</w:t>
      </w:r>
      <w:r>
        <w:rPr>
          <w:rFonts w:ascii="宋体" w:hAnsi="宋体" w:cs="宋体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2"/>
          <w:szCs w:val="32"/>
        </w:rPr>
        <w:t>29.77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万元；其他资产价值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219.42万元。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left"/>
        <w:textAlignment w:val="auto"/>
        <w:outlineLvl w:val="9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所属单位房屋</w:t>
      </w:r>
      <w:r>
        <w:rPr>
          <w:rFonts w:ascii="宋体" w:hAnsi="宋体" w:cs="宋体"/>
          <w:kern w:val="0"/>
          <w:sz w:val="32"/>
          <w:szCs w:val="32"/>
        </w:rPr>
        <w:t>2931</w:t>
      </w:r>
      <w:r>
        <w:rPr>
          <w:rFonts w:hint="eastAsia" w:ascii="宋体" w:hAnsi="宋体" w:cs="宋体"/>
          <w:kern w:val="0"/>
          <w:sz w:val="32"/>
          <w:szCs w:val="32"/>
        </w:rPr>
        <w:t>平方米，价值</w:t>
      </w:r>
      <w:r>
        <w:rPr>
          <w:rFonts w:ascii="宋体" w:hAnsi="宋体" w:cs="宋体"/>
          <w:kern w:val="0"/>
          <w:sz w:val="32"/>
          <w:szCs w:val="32"/>
        </w:rPr>
        <w:t>11</w:t>
      </w:r>
      <w:r>
        <w:rPr>
          <w:rFonts w:hint="eastAsia" w:ascii="宋体" w:hAnsi="宋体" w:cs="宋体"/>
          <w:kern w:val="0"/>
          <w:sz w:val="32"/>
          <w:szCs w:val="32"/>
        </w:rPr>
        <w:t>2.6万元；土地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平方米，价值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0万元；办公家具价值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87.42</w:t>
      </w:r>
      <w:r>
        <w:rPr>
          <w:rFonts w:hint="eastAsia" w:ascii="宋体" w:hAnsi="宋体" w:cs="宋体"/>
          <w:kern w:val="0"/>
          <w:sz w:val="32"/>
          <w:szCs w:val="32"/>
        </w:rPr>
        <w:t>万元；其他资产价值219.42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万元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、无形资产（不动产登记系统及财务软件）净值：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91.46万元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left"/>
        <w:textAlignment w:val="auto"/>
        <w:outlineLvl w:val="9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（四）预算绩效情况</w:t>
      </w:r>
    </w:p>
    <w:p>
      <w:pPr>
        <w:spacing w:line="520" w:lineRule="exact"/>
        <w:ind w:firstLine="720" w:firstLineChars="225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2018年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编制重点项目预算，完成全市土地现状调查、更新。对全市土地分类定级形成相对应土地级别体系及全市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不动产数据整合项目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农村宅基地“两证合一”登记、湿地确权登记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，推进全市不动产登记的快速发展。总体重点项目绩效评价良好。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(五)专项转移支付项目申报情况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有专项转移支付的单位对项目情况进行说明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:无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其他需说明的事项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市国土资源局</w:t>
      </w:r>
      <w:r>
        <w:rPr>
          <w:rFonts w:hint="eastAsia" w:ascii="黑体" w:hAnsi="黑体" w:eastAsia="黑体"/>
          <w:sz w:val="32"/>
          <w:szCs w:val="32"/>
        </w:rPr>
        <w:t>2018年部门预算</w:t>
      </w:r>
      <w:r>
        <w:rPr>
          <w:rFonts w:ascii="黑体" w:hAnsi="黑体" w:eastAsia="黑体"/>
          <w:sz w:val="32"/>
          <w:szCs w:val="32"/>
        </w:rPr>
        <w:t>—</w:t>
      </w:r>
      <w:r>
        <w:rPr>
          <w:rFonts w:hint="eastAsia" w:ascii="黑体" w:hAnsi="黑体" w:eastAsia="黑体"/>
          <w:sz w:val="32"/>
          <w:szCs w:val="32"/>
        </w:rPr>
        <w:t>名词解释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1、财政拨款收入：指财政部门用一般预算收入安排的预算单位资金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2、基本支出：反映为保障机构正常运转、完成日常工作任务而发生的人员支出和公用支出。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3、项目支出：反映行政单位为完成特定的工作任务或事业发展目标，在基本的预算支出以外，财政预算专款安排的支出。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4、支出功能分类：按照政府的各项职能活动将支出进行分类；支出经济分类：按照政府各项支出的具体用途将支出进行分类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5、社会保障和就业支出（类）：反映政府在社会保障与就业方面的支出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6、工资福利支出（类）：反映单位开支的在职职工和编制外长期聘用人员的各类劳动报酬，以及为上述人员缴纳的各项社会保险费等。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7、商品和服务支出（类）：反映单位购买商品和服务的支出。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8、一般公共预算“三公”经费：是指用财政拨款安排的因公出国（境）费、公务用车购置及运行维护费和公务接待费。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9、土地资源调查：全国第三次土地调查工作经费。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10、土地资源利用和保护：城镇土地定级与基准地价更新。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11、其他国土资源事务支出：土地出让金征管经费。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12、其他地震事务支出：防震减灾工作经费。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13、行政运行：非税收入补助。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14、土地开发支出：土地开发支出。</w:t>
      </w:r>
    </w:p>
    <w:p>
      <w:pPr>
        <w:rPr>
          <w:rFonts w:ascii="仿宋" w:hAnsi="仿宋" w:eastAsia="仿宋"/>
        </w:rPr>
      </w:pPr>
    </w:p>
    <w:sectPr>
      <w:pgSz w:w="11906" w:h="16838"/>
      <w:pgMar w:top="1418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972FF"/>
    <w:multiLevelType w:val="singleLevel"/>
    <w:tmpl w:val="5A6972FF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5427"/>
    <w:rsid w:val="000214B5"/>
    <w:rsid w:val="000828F9"/>
    <w:rsid w:val="000B6887"/>
    <w:rsid w:val="000D6448"/>
    <w:rsid w:val="0011393B"/>
    <w:rsid w:val="00115FCE"/>
    <w:rsid w:val="00133DFD"/>
    <w:rsid w:val="001501AE"/>
    <w:rsid w:val="00172E3A"/>
    <w:rsid w:val="001B040E"/>
    <w:rsid w:val="00226885"/>
    <w:rsid w:val="0026244A"/>
    <w:rsid w:val="00285BCD"/>
    <w:rsid w:val="002B5033"/>
    <w:rsid w:val="00305555"/>
    <w:rsid w:val="0030738A"/>
    <w:rsid w:val="003422FA"/>
    <w:rsid w:val="00342584"/>
    <w:rsid w:val="0034632E"/>
    <w:rsid w:val="0037413C"/>
    <w:rsid w:val="003D6C60"/>
    <w:rsid w:val="00421A9D"/>
    <w:rsid w:val="00434A89"/>
    <w:rsid w:val="004767CE"/>
    <w:rsid w:val="00487A4A"/>
    <w:rsid w:val="0055117A"/>
    <w:rsid w:val="00570E19"/>
    <w:rsid w:val="005B1CC8"/>
    <w:rsid w:val="005D6F9C"/>
    <w:rsid w:val="005E13A7"/>
    <w:rsid w:val="005F3F5F"/>
    <w:rsid w:val="00604BD2"/>
    <w:rsid w:val="00604DB1"/>
    <w:rsid w:val="006C09A0"/>
    <w:rsid w:val="006E57B4"/>
    <w:rsid w:val="00706586"/>
    <w:rsid w:val="00761F60"/>
    <w:rsid w:val="00785427"/>
    <w:rsid w:val="007E6994"/>
    <w:rsid w:val="0083623D"/>
    <w:rsid w:val="008B0441"/>
    <w:rsid w:val="008C6758"/>
    <w:rsid w:val="008D38AF"/>
    <w:rsid w:val="008D508E"/>
    <w:rsid w:val="008D5332"/>
    <w:rsid w:val="008F0021"/>
    <w:rsid w:val="00933596"/>
    <w:rsid w:val="00970804"/>
    <w:rsid w:val="00971A2B"/>
    <w:rsid w:val="009861E7"/>
    <w:rsid w:val="009A55CB"/>
    <w:rsid w:val="009B1D2E"/>
    <w:rsid w:val="009B6C45"/>
    <w:rsid w:val="009D360F"/>
    <w:rsid w:val="009E215C"/>
    <w:rsid w:val="00A72863"/>
    <w:rsid w:val="00A9046F"/>
    <w:rsid w:val="00A95841"/>
    <w:rsid w:val="00B3063D"/>
    <w:rsid w:val="00B37B02"/>
    <w:rsid w:val="00B45BB1"/>
    <w:rsid w:val="00B56676"/>
    <w:rsid w:val="00B65B4F"/>
    <w:rsid w:val="00B92441"/>
    <w:rsid w:val="00BC5F0C"/>
    <w:rsid w:val="00CC27A2"/>
    <w:rsid w:val="00D26333"/>
    <w:rsid w:val="00D420A9"/>
    <w:rsid w:val="00DD386C"/>
    <w:rsid w:val="00E30D7E"/>
    <w:rsid w:val="00E36426"/>
    <w:rsid w:val="00E56D03"/>
    <w:rsid w:val="00E72B93"/>
    <w:rsid w:val="00F17784"/>
    <w:rsid w:val="00F62BE6"/>
    <w:rsid w:val="00F731E7"/>
    <w:rsid w:val="00F974DD"/>
    <w:rsid w:val="00FB45C2"/>
    <w:rsid w:val="00FD57F1"/>
    <w:rsid w:val="02B0485A"/>
    <w:rsid w:val="0B161CD6"/>
    <w:rsid w:val="0B711BA0"/>
    <w:rsid w:val="0B720D13"/>
    <w:rsid w:val="0C08247E"/>
    <w:rsid w:val="0C255949"/>
    <w:rsid w:val="0C920C92"/>
    <w:rsid w:val="0E38237E"/>
    <w:rsid w:val="102C3E58"/>
    <w:rsid w:val="107B57C4"/>
    <w:rsid w:val="11A977D8"/>
    <w:rsid w:val="11CB7EE9"/>
    <w:rsid w:val="141A052E"/>
    <w:rsid w:val="154C0C53"/>
    <w:rsid w:val="17521B83"/>
    <w:rsid w:val="17D50F08"/>
    <w:rsid w:val="1B2B0049"/>
    <w:rsid w:val="1EFD5029"/>
    <w:rsid w:val="236234B0"/>
    <w:rsid w:val="243C0A5E"/>
    <w:rsid w:val="26B8093B"/>
    <w:rsid w:val="2AA97309"/>
    <w:rsid w:val="2C841630"/>
    <w:rsid w:val="2D954F33"/>
    <w:rsid w:val="2E6C1713"/>
    <w:rsid w:val="30456001"/>
    <w:rsid w:val="31381062"/>
    <w:rsid w:val="31F1319A"/>
    <w:rsid w:val="32142446"/>
    <w:rsid w:val="37DF3D0D"/>
    <w:rsid w:val="39F556B8"/>
    <w:rsid w:val="3B330EAB"/>
    <w:rsid w:val="3C455B52"/>
    <w:rsid w:val="3C5D674B"/>
    <w:rsid w:val="3DD55D52"/>
    <w:rsid w:val="3E487F67"/>
    <w:rsid w:val="3E6363D8"/>
    <w:rsid w:val="3FFF7E71"/>
    <w:rsid w:val="405A1592"/>
    <w:rsid w:val="4123017C"/>
    <w:rsid w:val="439919BA"/>
    <w:rsid w:val="47FB4409"/>
    <w:rsid w:val="48B22BB1"/>
    <w:rsid w:val="496B1B84"/>
    <w:rsid w:val="49DE3AF9"/>
    <w:rsid w:val="4ACA6A14"/>
    <w:rsid w:val="4BB7165B"/>
    <w:rsid w:val="4C2D3E72"/>
    <w:rsid w:val="4CDE720D"/>
    <w:rsid w:val="4E305091"/>
    <w:rsid w:val="511C70A0"/>
    <w:rsid w:val="51587617"/>
    <w:rsid w:val="51762108"/>
    <w:rsid w:val="52A61DE2"/>
    <w:rsid w:val="54B530E3"/>
    <w:rsid w:val="561D0CC0"/>
    <w:rsid w:val="57543CC1"/>
    <w:rsid w:val="579778F9"/>
    <w:rsid w:val="57DC390F"/>
    <w:rsid w:val="583F25A8"/>
    <w:rsid w:val="5882676D"/>
    <w:rsid w:val="59F6438A"/>
    <w:rsid w:val="5C942657"/>
    <w:rsid w:val="64636FB8"/>
    <w:rsid w:val="65F355D0"/>
    <w:rsid w:val="65F62C8A"/>
    <w:rsid w:val="667D0FBE"/>
    <w:rsid w:val="69301284"/>
    <w:rsid w:val="698706F1"/>
    <w:rsid w:val="6EA561A8"/>
    <w:rsid w:val="6F913011"/>
    <w:rsid w:val="707C1747"/>
    <w:rsid w:val="717954F4"/>
    <w:rsid w:val="72616793"/>
    <w:rsid w:val="741D617D"/>
    <w:rsid w:val="74BA244A"/>
    <w:rsid w:val="79981362"/>
    <w:rsid w:val="7A643AF7"/>
    <w:rsid w:val="7CE03F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3D3D3D"/>
      <w:u w:val="none"/>
    </w:rPr>
  </w:style>
  <w:style w:type="character" w:styleId="8">
    <w:name w:val="Hyperlink"/>
    <w:basedOn w:val="6"/>
    <w:qFormat/>
    <w:uiPriority w:val="0"/>
    <w:rPr>
      <w:color w:val="3D3D3D"/>
      <w:u w:val="none"/>
    </w:rPr>
  </w:style>
  <w:style w:type="character" w:customStyle="1" w:styleId="10">
    <w:name w:val="页眉 Char"/>
    <w:basedOn w:val="6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页脚 Char"/>
    <w:basedOn w:val="6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b/>
      <w:color w:val="000000"/>
      <w:sz w:val="18"/>
      <w:szCs w:val="18"/>
      <w:u w:val="none"/>
    </w:rPr>
  </w:style>
  <w:style w:type="character" w:customStyle="1" w:styleId="13">
    <w:name w:val="font1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4">
    <w:name w:val="font2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5">
    <w:name w:val="font01"/>
    <w:basedOn w:val="6"/>
    <w:qFormat/>
    <w:uiPriority w:val="0"/>
    <w:rPr>
      <w:rFonts w:hint="default" w:ascii="Calibri" w:hAnsi="Calibri" w:cs="Calibri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5A25C7-9568-4696-A5E3-88C95D9125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1449</Words>
  <Characters>8260</Characters>
  <Lines>68</Lines>
  <Paragraphs>19</Paragraphs>
  <ScaleCrop>false</ScaleCrop>
  <LinksUpToDate>false</LinksUpToDate>
  <CharactersWithSpaces>9690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2018-01-02T09:42:00Z</dcterms:created>
  <dc:creator>User</dc:creator>
  <cp:lastModifiedBy>Administrator</cp:lastModifiedBy>
  <cp:lastPrinted>2018-01-25T05:21:00Z</cp:lastPrinted>
  <dcterms:modified xsi:type="dcterms:W3CDTF">2019-02-21T01:43:18Z</dcterms:modified>
  <dc:title>附件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