
<file path=[Content_Types].xml><?xml version="1.0" encoding="utf-8"?>
<Types xmlns="http://schemas.openxmlformats.org/package/2006/content-types">
  <Default Extension="xml" ContentType="application/xml"/>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宋体" w:hAnsi="宋体" w:eastAsia="宋体" w:cs="宋体"/>
          <w:b/>
          <w:bCs w:val="0"/>
          <w:sz w:val="32"/>
          <w:szCs w:val="32"/>
        </w:rPr>
      </w:pPr>
      <w:r>
        <w:rPr>
          <w:rFonts w:hint="eastAsia" w:ascii="宋体" w:hAnsi="宋体" w:eastAsia="宋体" w:cs="宋体"/>
          <w:b/>
          <w:bCs w:val="0"/>
          <w:sz w:val="44"/>
          <w:szCs w:val="44"/>
        </w:rPr>
        <w:t>青铜峡市</w:t>
      </w:r>
      <w:r>
        <w:rPr>
          <w:rFonts w:hint="eastAsia" w:ascii="宋体" w:hAnsi="宋体" w:cs="宋体"/>
          <w:b/>
          <w:bCs w:val="0"/>
          <w:sz w:val="44"/>
          <w:szCs w:val="44"/>
          <w:lang w:val="en-US" w:eastAsia="zh-CN"/>
        </w:rPr>
        <w:t>4</w:t>
      </w:r>
      <w:r>
        <w:rPr>
          <w:rFonts w:hint="eastAsia" w:ascii="宋体" w:hAnsi="宋体" w:eastAsia="宋体" w:cs="宋体"/>
          <w:b/>
          <w:bCs w:val="0"/>
          <w:sz w:val="44"/>
          <w:szCs w:val="44"/>
        </w:rPr>
        <w:t>月份财政预算执行</w:t>
      </w:r>
      <w:r>
        <w:rPr>
          <w:rFonts w:hint="eastAsia" w:ascii="宋体" w:hAnsi="宋体" w:eastAsia="宋体" w:cs="宋体"/>
          <w:b/>
          <w:bCs w:val="0"/>
          <w:sz w:val="44"/>
          <w:szCs w:val="44"/>
          <w:lang w:eastAsia="zh-CN"/>
        </w:rPr>
        <w:t>情况</w:t>
      </w:r>
    </w:p>
    <w:p>
      <w:pPr>
        <w:spacing w:afterLines="100" w:line="560" w:lineRule="exact"/>
        <w:jc w:val="left"/>
        <w:rPr>
          <w:rFonts w:hint="eastAsia" w:ascii="宋体" w:hAnsi="宋体" w:eastAsia="宋体" w:cs="宋体"/>
          <w:sz w:val="32"/>
          <w:szCs w:val="32"/>
        </w:rPr>
      </w:pPr>
      <w:r>
        <w:rPr>
          <w:rFonts w:hint="eastAsia" w:ascii="宋体" w:hAnsi="宋体" w:eastAsia="宋体" w:cs="宋体"/>
          <w:sz w:val="32"/>
          <w:szCs w:val="32"/>
        </w:rPr>
        <w:br w:type="textWrapping"/>
      </w:r>
      <w:r>
        <w:rPr>
          <w:rFonts w:hint="eastAsia" w:ascii="宋体" w:hAnsi="宋体" w:cs="宋体"/>
          <w:sz w:val="32"/>
          <w:szCs w:val="32"/>
          <w:lang w:val="en-US" w:eastAsia="zh-CN"/>
        </w:rPr>
        <w:t xml:space="preserve">   </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2021年，我市财政工作围绕市委、</w:t>
      </w:r>
      <w:r>
        <w:rPr>
          <w:rFonts w:hint="eastAsia" w:ascii="宋体" w:hAnsi="宋体" w:cs="宋体"/>
          <w:sz w:val="32"/>
          <w:szCs w:val="32"/>
          <w:lang w:val="en-US" w:eastAsia="zh-CN"/>
        </w:rPr>
        <w:t>市</w:t>
      </w:r>
      <w:bookmarkStart w:id="0" w:name="_GoBack"/>
      <w:bookmarkEnd w:id="0"/>
      <w:r>
        <w:rPr>
          <w:rFonts w:hint="eastAsia" w:ascii="宋体" w:hAnsi="宋体" w:eastAsia="宋体" w:cs="宋体"/>
          <w:sz w:val="32"/>
          <w:szCs w:val="32"/>
        </w:rPr>
        <w:t>政府重点工作部署，坚持“全面完整、动态管理、量入为出、有保有压、突出成绩、公开透明”的原则，严格落实“过紧日子”要求，将“保基本民生、保工资、保运转”放在优先位置，增强财力保障能力，促进经济社会平稳发展。</w:t>
      </w:r>
    </w:p>
    <w:p>
      <w:pPr>
        <w:widowControl/>
        <w:spacing w:line="560" w:lineRule="exact"/>
        <w:ind w:firstLine="640" w:firstLineChars="200"/>
        <w:rPr>
          <w:rFonts w:hint="eastAsia" w:ascii="宋体" w:hAnsi="宋体" w:eastAsia="宋体" w:cs="宋体"/>
          <w:b/>
          <w:bCs w:val="0"/>
          <w:sz w:val="32"/>
          <w:szCs w:val="32"/>
        </w:rPr>
      </w:pPr>
      <w:r>
        <w:rPr>
          <w:rFonts w:hint="eastAsia" w:ascii="宋体" w:hAnsi="宋体" w:eastAsia="宋体" w:cs="宋体"/>
          <w:b/>
          <w:bCs w:val="0"/>
          <w:sz w:val="32"/>
          <w:szCs w:val="32"/>
        </w:rPr>
        <w:t>一、2021年4月份财政收支完成情况</w:t>
      </w:r>
    </w:p>
    <w:p>
      <w:pPr>
        <w:widowControl/>
        <w:spacing w:line="560" w:lineRule="exact"/>
        <w:ind w:firstLine="634" w:firstLineChars="200"/>
        <w:rPr>
          <w:rFonts w:hint="eastAsia" w:ascii="宋体" w:hAnsi="宋体" w:eastAsia="宋体" w:cs="宋体"/>
          <w:b w:val="0"/>
          <w:bCs/>
          <w:spacing w:val="-2"/>
          <w:sz w:val="32"/>
          <w:szCs w:val="32"/>
        </w:rPr>
      </w:pPr>
      <w:r>
        <w:rPr>
          <w:rFonts w:hint="eastAsia" w:ascii="宋体" w:hAnsi="宋体" w:eastAsia="宋体" w:cs="宋体"/>
          <w:b w:val="0"/>
          <w:bCs/>
          <w:spacing w:val="-2"/>
          <w:sz w:val="32"/>
          <w:szCs w:val="32"/>
        </w:rPr>
        <w:t>（一）一般公共预算执行情况</w:t>
      </w:r>
    </w:p>
    <w:p>
      <w:pPr>
        <w:spacing w:line="560" w:lineRule="exact"/>
        <w:ind w:firstLine="634" w:firstLineChars="200"/>
        <w:rPr>
          <w:rFonts w:hint="eastAsia" w:ascii="宋体" w:hAnsi="宋体" w:eastAsia="宋体" w:cs="宋体"/>
          <w:sz w:val="32"/>
          <w:szCs w:val="32"/>
        </w:rPr>
      </w:pPr>
      <w:r>
        <w:rPr>
          <w:rFonts w:hint="eastAsia" w:ascii="宋体" w:hAnsi="宋体" w:eastAsia="宋体" w:cs="宋体"/>
          <w:b w:val="0"/>
          <w:bCs/>
          <w:spacing w:val="-2"/>
          <w:sz w:val="32"/>
          <w:szCs w:val="32"/>
        </w:rPr>
        <w:t>1.收入情况：</w:t>
      </w:r>
      <w:r>
        <w:rPr>
          <w:rFonts w:hint="eastAsia" w:ascii="宋体" w:hAnsi="宋体" w:eastAsia="宋体" w:cs="宋体"/>
          <w:sz w:val="32"/>
          <w:szCs w:val="32"/>
        </w:rPr>
        <w:t>1-4月份，辖区内一般公共预算收入完成55774万元，同比减收1717万元，下降3%。其中：中央级收入完成18380万元，同比减收2355万元，下降11.4%；自治区级收入完成11500万元，同比减收163万元，下降1.4%；市本级收入完成25894万元，同比增收801万元，增长3.2%。</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4月份，当月完成市本级一般公共预算收入6138万元，同比增收106万元，增长1.8%。</w:t>
      </w:r>
      <w:r>
        <w:rPr>
          <w:rFonts w:hint="eastAsia" w:ascii="宋体" w:hAnsi="宋体" w:eastAsia="宋体" w:cs="宋体"/>
          <w:b w:val="0"/>
          <w:bCs w:val="0"/>
          <w:sz w:val="32"/>
          <w:szCs w:val="32"/>
        </w:rPr>
        <w:t>从收入结构看，</w:t>
      </w:r>
      <w:r>
        <w:rPr>
          <w:rFonts w:hint="eastAsia" w:ascii="宋体" w:hAnsi="宋体" w:eastAsia="宋体" w:cs="宋体"/>
          <w:sz w:val="32"/>
          <w:szCs w:val="32"/>
        </w:rPr>
        <w:t>税收收入当月完成4751万元，同比增收1009万元，增长27%；非税收入当月完成1387万元，同比减收903万元，下降39.4%。</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截止2021年4月末累计完成市本级一般公共预算收入25894万元，占年度预算79000万元的33%，完成了年度预算目标序时进度，比2020年同期收入25093万元增加801万元，增长3.2%。其中：税收收入完成16125万元，同比减收2121万元，下降11.6%，占</w:t>
      </w:r>
      <w:r>
        <w:rPr>
          <w:rFonts w:hint="eastAsia" w:ascii="宋体" w:hAnsi="宋体" w:eastAsia="宋体" w:cs="宋体"/>
          <w:kern w:val="0"/>
          <w:sz w:val="32"/>
          <w:szCs w:val="32"/>
        </w:rPr>
        <w:t>市本级</w:t>
      </w:r>
      <w:r>
        <w:rPr>
          <w:rFonts w:hint="eastAsia" w:ascii="宋体" w:hAnsi="宋体" w:eastAsia="宋体" w:cs="宋体"/>
          <w:sz w:val="32"/>
          <w:szCs w:val="32"/>
        </w:rPr>
        <w:t>一般公共预算收入的62.3%；非税收入完成9769万元，增收2922万元，增长42.7%，占</w:t>
      </w:r>
      <w:r>
        <w:rPr>
          <w:rFonts w:hint="eastAsia" w:ascii="宋体" w:hAnsi="宋体" w:eastAsia="宋体" w:cs="宋体"/>
          <w:kern w:val="0"/>
          <w:sz w:val="32"/>
          <w:szCs w:val="32"/>
        </w:rPr>
        <w:t>市本级</w:t>
      </w:r>
      <w:r>
        <w:rPr>
          <w:rFonts w:hint="eastAsia" w:ascii="宋体" w:hAnsi="宋体" w:eastAsia="宋体" w:cs="宋体"/>
          <w:sz w:val="32"/>
          <w:szCs w:val="32"/>
        </w:rPr>
        <w:t>一般公共预算收入的37.7%。</w:t>
      </w:r>
    </w:p>
    <w:p>
      <w:pPr>
        <w:spacing w:line="560" w:lineRule="exact"/>
        <w:ind w:firstLine="643"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1-4月份财政收入运行主要特点：</w:t>
      </w:r>
    </w:p>
    <w:p>
      <w:pPr>
        <w:spacing w:line="560" w:lineRule="exact"/>
        <w:ind w:firstLine="643"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一是财政收入稳中有进，增幅呈小幅度增加。1-4月份，市本级一般公共预算收入完成年度预算的33%，仅完成年度收入预算目标序时进度，比上年同期增长3.2%。</w:t>
      </w:r>
    </w:p>
    <w:p>
      <w:pPr>
        <w:spacing w:line="560" w:lineRule="exact"/>
        <w:ind w:firstLine="643" w:firstLineChars="200"/>
        <w:rPr>
          <w:rFonts w:hint="eastAsia" w:ascii="宋体" w:hAnsi="宋体" w:eastAsia="宋体" w:cs="宋体"/>
          <w:sz w:val="32"/>
          <w:szCs w:val="32"/>
        </w:rPr>
      </w:pPr>
      <w:r>
        <w:rPr>
          <w:rFonts w:hint="eastAsia" w:ascii="宋体" w:hAnsi="宋体" w:eastAsia="宋体" w:cs="宋体"/>
          <w:b w:val="0"/>
          <w:bCs w:val="0"/>
          <w:sz w:val="32"/>
          <w:szCs w:val="32"/>
        </w:rPr>
        <w:t>二是税收收入降幅明显，各</w:t>
      </w:r>
      <w:r>
        <w:rPr>
          <w:rFonts w:hint="eastAsia" w:ascii="宋体" w:hAnsi="宋体" w:eastAsia="宋体" w:cs="宋体"/>
          <w:b w:val="0"/>
          <w:bCs w:val="0"/>
          <w:spacing w:val="-4"/>
          <w:kern w:val="0"/>
          <w:sz w:val="32"/>
          <w:szCs w:val="32"/>
        </w:rPr>
        <w:t>税种增减幅度大。</w:t>
      </w:r>
      <w:r>
        <w:rPr>
          <w:rFonts w:hint="eastAsia" w:ascii="宋体" w:hAnsi="宋体" w:eastAsia="宋体" w:cs="宋体"/>
          <w:b w:val="0"/>
          <w:bCs w:val="0"/>
          <w:sz w:val="32"/>
          <w:szCs w:val="32"/>
        </w:rPr>
        <w:t>1</w:t>
      </w:r>
      <w:r>
        <w:rPr>
          <w:rFonts w:hint="eastAsia" w:ascii="宋体" w:hAnsi="宋体" w:eastAsia="宋体" w:cs="宋体"/>
          <w:sz w:val="32"/>
          <w:szCs w:val="32"/>
        </w:rPr>
        <w:t>-4月份，市本级税收收入完成16125万元，同比下降11.6%。在2020年第一季度受新型冠状病毒肺炎疫情影响减收的税种包括：增值税、个人所得税、印花税，在2021年同期都明显增收，分别增长48%、51.2%、54.7%；而相反在2020年第一季度受国家电投集团黄河上游水电开发有限公司宁电分公司重组收益、宁夏金昱元能源化学有限公司、宁夏青铜峡水泥股份有限公司等企业经济效益良好等一次性增收的税种：企业所得税、契税，2021年却分别减收2741万元、2413万元，下降71%和78.5%，对本级税收收入下降影响巨大。</w:t>
      </w:r>
    </w:p>
    <w:p>
      <w:pPr>
        <w:spacing w:line="560" w:lineRule="exact"/>
        <w:ind w:firstLine="643" w:firstLineChars="200"/>
        <w:rPr>
          <w:rFonts w:hint="eastAsia" w:ascii="宋体" w:hAnsi="宋体" w:eastAsia="宋体" w:cs="宋体"/>
          <w:sz w:val="32"/>
          <w:szCs w:val="32"/>
        </w:rPr>
      </w:pPr>
      <w:r>
        <w:rPr>
          <w:rFonts w:hint="eastAsia" w:ascii="宋体" w:hAnsi="宋体" w:eastAsia="宋体" w:cs="宋体"/>
          <w:b w:val="0"/>
          <w:bCs w:val="0"/>
          <w:sz w:val="32"/>
          <w:szCs w:val="32"/>
        </w:rPr>
        <w:t>三是非税收入支撑作用明显，拉动公共财政预算收入增长。1-4月份，面对税收收入呈下降形势，青铜峡市财政局主动适</w:t>
      </w:r>
      <w:r>
        <w:rPr>
          <w:rFonts w:hint="eastAsia" w:ascii="宋体" w:hAnsi="宋体" w:eastAsia="宋体" w:cs="宋体"/>
          <w:sz w:val="32"/>
          <w:szCs w:val="32"/>
        </w:rPr>
        <w:t>应新形势、新任务，充分发挥职能作用，采取多种措施规范非税收入征收管理，确保征缴质量，鼓励各部门依法大力挖掘非税收入潜力并及时协助解决征管过程中遇到的问题，做到应收尽收、应缴尽缴。通过各部门（单位）的共同努力，截止4月末，非税收入累计完成9769万元，比上年同期增收2922万元，增长42.7%，对拉动财政收入作用明显。主要原因是2020年同期受疫情影响大，专项收入、行政事业性收费收入及国有资源有偿使用收入大幅减少，2021年1-4月份以上收入恢复征收。</w:t>
      </w:r>
    </w:p>
    <w:p>
      <w:pPr>
        <w:spacing w:line="560" w:lineRule="exact"/>
        <w:ind w:firstLine="643" w:firstLineChars="200"/>
        <w:rPr>
          <w:rFonts w:hint="eastAsia" w:ascii="宋体" w:hAnsi="宋体" w:eastAsia="宋体" w:cs="宋体"/>
          <w:sz w:val="32"/>
          <w:szCs w:val="32"/>
        </w:rPr>
      </w:pPr>
      <w:r>
        <w:rPr>
          <w:rFonts w:hint="eastAsia" w:ascii="宋体" w:hAnsi="宋体" w:eastAsia="宋体" w:cs="宋体"/>
          <w:b w:val="0"/>
          <w:bCs/>
          <w:sz w:val="32"/>
          <w:szCs w:val="32"/>
        </w:rPr>
        <w:t>2.支出情况：</w:t>
      </w:r>
      <w:r>
        <w:rPr>
          <w:rFonts w:hint="eastAsia" w:ascii="宋体" w:hAnsi="宋体" w:eastAsia="宋体" w:cs="宋体"/>
          <w:sz w:val="32"/>
          <w:szCs w:val="32"/>
        </w:rPr>
        <w:t>2021年4月当月完成市本级一般公共预算支出24601万元，同比增支8380万元，增长51.7%。</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1-4月份，累计完成市本级一般公共预算支出106562万元，占变动预算316143万元的34％，同比增支4340万元，增长4.2％。</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主要支出项目情况：</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1.一般公共服务支出6250万元，增长4.4%；</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2.公共安全支出1925万元，下降7.2%；</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3.教育支出15049万元，增长38.9%；</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4.科学技术支出2835万元，增长29.2%；</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5.文化旅游体育与传媒支出2953万元，增长7.1%；</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6.社会保障和就业支出20270万元，增长29.2%；</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7.卫生健康支出5604万元，下降70.1%；</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8.节能环保支出4689万元，增长167%；</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9.城乡社区支出2978万元，下降77.4%；</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10.农林水支出18693万元，增长100.5%；</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11.交通运输支出1472万元，下降48.5%；</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12.资源勘探信息等支出4363万元，增长68.3%</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13.商业服务业支出50万元，下降80.6%；</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14.自然资源海洋气象等支出566万元，下降50.4%；</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15.住房保障支出10101万元，增长24.2%；</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16.粮油物资储备支出1324万元，增长16.42倍；</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17.灾害防治及应急支出333万元，增长40.5%；</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18.债务付息支出7034万元，增长75.4%；</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19.其他支出73万元，下降80.5%；</w:t>
      </w:r>
    </w:p>
    <w:p>
      <w:pPr>
        <w:spacing w:line="560" w:lineRule="exact"/>
        <w:ind w:firstLine="643"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1-4月份财政支出运行主要特点：</w:t>
      </w:r>
    </w:p>
    <w:p>
      <w:pPr>
        <w:spacing w:line="560" w:lineRule="exact"/>
        <w:ind w:firstLine="643" w:firstLineChars="200"/>
        <w:rPr>
          <w:rFonts w:hint="eastAsia" w:ascii="宋体" w:hAnsi="宋体" w:eastAsia="宋体" w:cs="宋体"/>
          <w:sz w:val="32"/>
          <w:szCs w:val="32"/>
        </w:rPr>
      </w:pPr>
      <w:r>
        <w:rPr>
          <w:rFonts w:hint="eastAsia" w:ascii="宋体" w:hAnsi="宋体" w:eastAsia="宋体" w:cs="宋体"/>
          <w:b w:val="0"/>
          <w:bCs w:val="0"/>
          <w:sz w:val="32"/>
          <w:szCs w:val="32"/>
        </w:rPr>
        <w:t>全力保障工资及民生重点领域支出。</w:t>
      </w:r>
      <w:r>
        <w:rPr>
          <w:rFonts w:hint="eastAsia" w:ascii="宋体" w:hAnsi="宋体" w:eastAsia="宋体" w:cs="宋体"/>
          <w:b/>
          <w:bCs/>
          <w:sz w:val="32"/>
          <w:szCs w:val="32"/>
        </w:rPr>
        <w:t>1-</w:t>
      </w:r>
      <w:r>
        <w:rPr>
          <w:rFonts w:hint="eastAsia" w:ascii="宋体" w:hAnsi="宋体" w:eastAsia="宋体" w:cs="宋体"/>
          <w:sz w:val="32"/>
          <w:szCs w:val="32"/>
        </w:rPr>
        <w:t>4月份，支出的可利用资金有限，财政部门仍积极作为全力保障了全市职工工资、平时绩效考核及住房补贴的发放；用于教育、卫生健康、社会保障和就业、住房保障等民生支出80513万元，占一般公共预算支出的75.6%。</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增幅较大的:教育支出比上年增支4218万元，增长38.9%；社会保障和就业支出同比增支4580万元，增长29.2%；节能环保支出同比增支2933万元，增长167%；农林水支出同比增支9371万元，增长100.5%；资源勘探信息等支出同比增支1771万元，增长68.3%；粮油物资储备支出同比增支1248万元，增长16.42倍，以上均为区级专项资金支付比上年增加。住房保障支出同比增支1969万元，增长24.2%，为发放全市职工2019年住房补贴。</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降幅较大的：卫生健康支出同比减支13155万元，下降70.1%，为医疗保险统筹上划地市政策影响；城乡社区支出同比减支10190万元，下降77.4%；交通运输支出同比减支1389万元，下降48.5%；自然资源海洋气象等支出同比减支576万元，下降50.4%；其他支出同比减支301万元，下降80.5%，以上为比上年同期减少了地方政府新增债券项目及本级化解工程欠款资金支付。</w:t>
      </w:r>
    </w:p>
    <w:p>
      <w:pPr>
        <w:spacing w:line="560" w:lineRule="exact"/>
        <w:ind w:firstLine="634" w:firstLineChars="200"/>
        <w:rPr>
          <w:rFonts w:hint="eastAsia" w:ascii="宋体" w:hAnsi="宋体" w:eastAsia="宋体" w:cs="宋体"/>
          <w:b w:val="0"/>
          <w:bCs/>
          <w:spacing w:val="-2"/>
          <w:sz w:val="32"/>
          <w:szCs w:val="32"/>
        </w:rPr>
      </w:pPr>
      <w:r>
        <w:rPr>
          <w:rFonts w:hint="eastAsia" w:ascii="宋体" w:hAnsi="宋体" w:eastAsia="宋体" w:cs="宋体"/>
          <w:b w:val="0"/>
          <w:bCs/>
          <w:spacing w:val="-2"/>
          <w:sz w:val="32"/>
          <w:szCs w:val="32"/>
        </w:rPr>
        <w:t>（二）政府性基金预算执行情况。</w:t>
      </w:r>
    </w:p>
    <w:p>
      <w:pPr>
        <w:spacing w:line="560" w:lineRule="exact"/>
        <w:ind w:firstLine="643" w:firstLineChars="200"/>
        <w:rPr>
          <w:rFonts w:hint="eastAsia" w:ascii="宋体" w:hAnsi="宋体" w:eastAsia="宋体" w:cs="宋体"/>
          <w:sz w:val="32"/>
          <w:szCs w:val="32"/>
        </w:rPr>
      </w:pPr>
      <w:r>
        <w:rPr>
          <w:rFonts w:hint="eastAsia" w:ascii="宋体" w:hAnsi="宋体" w:eastAsia="宋体" w:cs="宋体"/>
          <w:b w:val="0"/>
          <w:bCs/>
          <w:sz w:val="32"/>
          <w:szCs w:val="32"/>
        </w:rPr>
        <w:t>1.收入情况：政府性基金预算执行进</w:t>
      </w:r>
      <w:r>
        <w:rPr>
          <w:rFonts w:hint="eastAsia" w:ascii="宋体" w:hAnsi="宋体" w:eastAsia="宋体" w:cs="宋体"/>
          <w:sz w:val="32"/>
          <w:szCs w:val="32"/>
        </w:rPr>
        <w:t>度较慢，2021年累计完成政府性基金预算收入2551万元，同比增收2486万元，完成了年度预算的18%，全部为国有土地使用权出让收入。</w:t>
      </w:r>
    </w:p>
    <w:p>
      <w:pPr>
        <w:spacing w:line="560" w:lineRule="exact"/>
        <w:ind w:firstLine="643" w:firstLineChars="200"/>
        <w:rPr>
          <w:rFonts w:hint="eastAsia" w:ascii="宋体" w:hAnsi="宋体" w:eastAsia="宋体" w:cs="宋体"/>
          <w:sz w:val="32"/>
          <w:szCs w:val="32"/>
        </w:rPr>
      </w:pPr>
      <w:r>
        <w:rPr>
          <w:rFonts w:hint="eastAsia" w:ascii="宋体" w:hAnsi="宋体" w:eastAsia="宋体" w:cs="宋体"/>
          <w:b w:val="0"/>
          <w:bCs w:val="0"/>
          <w:sz w:val="32"/>
          <w:szCs w:val="32"/>
        </w:rPr>
        <w:t>2.支出情况：</w:t>
      </w:r>
      <w:r>
        <w:rPr>
          <w:rFonts w:hint="eastAsia" w:ascii="宋体" w:hAnsi="宋体" w:eastAsia="宋体" w:cs="宋体"/>
          <w:sz w:val="32"/>
          <w:szCs w:val="32"/>
        </w:rPr>
        <w:t>4月份当月完成政府性基金支出693万元，同比增支487万元。1-4月份，累计完成政府性基金支出2799万元，同比减支203万元，下降6.8%。</w:t>
      </w:r>
    </w:p>
    <w:p>
      <w:pPr>
        <w:widowControl/>
        <w:spacing w:line="560" w:lineRule="exact"/>
        <w:ind w:firstLine="640" w:firstLineChars="200"/>
        <w:rPr>
          <w:rFonts w:hint="eastAsia" w:ascii="宋体" w:hAnsi="宋体" w:eastAsia="宋体" w:cs="宋体"/>
          <w:b/>
          <w:bCs w:val="0"/>
          <w:sz w:val="32"/>
          <w:szCs w:val="32"/>
        </w:rPr>
      </w:pPr>
      <w:r>
        <w:rPr>
          <w:rFonts w:hint="eastAsia" w:ascii="宋体" w:hAnsi="宋体" w:eastAsia="宋体" w:cs="宋体"/>
          <w:b/>
          <w:bCs w:val="0"/>
          <w:sz w:val="32"/>
          <w:szCs w:val="32"/>
        </w:rPr>
        <w:t>二、预算执行中存在的问题</w:t>
      </w:r>
    </w:p>
    <w:p>
      <w:pPr>
        <w:widowControl/>
        <w:spacing w:line="560" w:lineRule="exact"/>
        <w:ind w:firstLine="656" w:firstLineChars="200"/>
        <w:rPr>
          <w:rFonts w:hint="eastAsia" w:ascii="宋体" w:hAnsi="宋体" w:eastAsia="宋体" w:cs="宋体"/>
          <w:color w:val="000000"/>
          <w:spacing w:val="4"/>
          <w:sz w:val="32"/>
          <w:szCs w:val="32"/>
        </w:rPr>
      </w:pPr>
      <w:r>
        <w:rPr>
          <w:rFonts w:hint="eastAsia" w:ascii="宋体" w:hAnsi="宋体" w:eastAsia="宋体" w:cs="宋体"/>
          <w:color w:val="000000"/>
          <w:spacing w:val="4"/>
          <w:sz w:val="32"/>
          <w:szCs w:val="32"/>
        </w:rPr>
        <w:t>为有效应对税收持续低位增长、财政增收困难加大的不利局面，财政部门在加强税源管控的基础上，强化非税征管责任，严格落实各项政策，同时确保非税收入应收尽收。但可用资金有限，财政刚性支出却不减，财政收支平衡压力仍然很大。</w:t>
      </w:r>
    </w:p>
    <w:p>
      <w:pPr>
        <w:spacing w:line="560" w:lineRule="exact"/>
        <w:ind w:firstLine="640" w:firstLineChars="200"/>
        <w:rPr>
          <w:rFonts w:hint="eastAsia" w:ascii="宋体" w:hAnsi="宋体" w:eastAsia="宋体" w:cs="宋体"/>
          <w:b/>
          <w:bCs w:val="0"/>
          <w:sz w:val="32"/>
          <w:szCs w:val="32"/>
        </w:rPr>
      </w:pPr>
      <w:r>
        <w:rPr>
          <w:rFonts w:hint="eastAsia" w:ascii="宋体" w:hAnsi="宋体" w:eastAsia="宋体" w:cs="宋体"/>
          <w:b/>
          <w:bCs w:val="0"/>
          <w:sz w:val="32"/>
          <w:szCs w:val="32"/>
        </w:rPr>
        <w:t>三、下一步做好预算执行工作的措施</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color w:val="000000"/>
          <w:sz w:val="32"/>
          <w:szCs w:val="32"/>
        </w:rPr>
        <w:t>下一步，我们继续主动作为、采取积极措施，攻坚克难，</w:t>
      </w:r>
      <w:r>
        <w:rPr>
          <w:rFonts w:hint="eastAsia" w:ascii="宋体" w:hAnsi="宋体" w:eastAsia="宋体" w:cs="宋体"/>
          <w:sz w:val="32"/>
          <w:szCs w:val="32"/>
        </w:rPr>
        <w:t>提前谋划、采取切实有效的措施加快财政支出进度，保障财政收支运行保持在合理区间</w:t>
      </w:r>
      <w:r>
        <w:rPr>
          <w:rFonts w:hint="eastAsia" w:ascii="宋体" w:hAnsi="宋体" w:eastAsia="宋体" w:cs="宋体"/>
          <w:color w:val="000000"/>
          <w:sz w:val="32"/>
          <w:szCs w:val="32"/>
        </w:rPr>
        <w:t>。</w:t>
      </w:r>
    </w:p>
    <w:p>
      <w:pPr>
        <w:widowControl/>
        <w:spacing w:line="560" w:lineRule="exact"/>
        <w:ind w:firstLine="643" w:firstLineChars="200"/>
        <w:rPr>
          <w:rFonts w:hint="eastAsia" w:ascii="宋体" w:hAnsi="宋体" w:eastAsia="宋体" w:cs="宋体"/>
          <w:b w:val="0"/>
          <w:bCs/>
          <w:sz w:val="32"/>
          <w:szCs w:val="32"/>
        </w:rPr>
      </w:pPr>
      <w:r>
        <w:rPr>
          <w:rFonts w:hint="eastAsia" w:ascii="宋体" w:hAnsi="宋体" w:eastAsia="宋体" w:cs="宋体"/>
          <w:b w:val="0"/>
          <w:bCs/>
          <w:sz w:val="32"/>
          <w:szCs w:val="32"/>
        </w:rPr>
        <w:t>（一）积极研判收入形势，抓紧研究对策措施</w:t>
      </w:r>
    </w:p>
    <w:p>
      <w:pPr>
        <w:widowControl/>
        <w:spacing w:line="560" w:lineRule="exact"/>
        <w:ind w:firstLine="643" w:firstLineChars="200"/>
        <w:rPr>
          <w:rFonts w:hint="eastAsia" w:ascii="宋体" w:hAnsi="宋体" w:eastAsia="宋体" w:cs="宋体"/>
          <w:b w:val="0"/>
          <w:bCs/>
          <w:color w:val="000000"/>
          <w:sz w:val="32"/>
          <w:szCs w:val="32"/>
        </w:rPr>
      </w:pPr>
      <w:r>
        <w:rPr>
          <w:rFonts w:hint="eastAsia" w:ascii="宋体" w:hAnsi="宋体" w:eastAsia="宋体" w:cs="宋体"/>
          <w:b w:val="0"/>
          <w:bCs/>
          <w:sz w:val="32"/>
          <w:szCs w:val="32"/>
        </w:rPr>
        <w:t>加强组织收入的主动性，</w:t>
      </w:r>
      <w:r>
        <w:rPr>
          <w:rFonts w:hint="eastAsia" w:ascii="宋体" w:hAnsi="宋体" w:eastAsia="宋体" w:cs="宋体"/>
          <w:b w:val="0"/>
          <w:bCs/>
          <w:color w:val="000000"/>
          <w:sz w:val="32"/>
          <w:szCs w:val="32"/>
        </w:rPr>
        <w:t>强化综合治税，推进税收共治工作。不断优化税收营商环境，确保各项政策措施不折不扣落实到位，同时</w:t>
      </w:r>
      <w:r>
        <w:rPr>
          <w:rFonts w:hint="eastAsia" w:ascii="宋体" w:hAnsi="宋体" w:eastAsia="宋体" w:cs="宋体"/>
          <w:b w:val="0"/>
          <w:bCs/>
          <w:sz w:val="32"/>
          <w:szCs w:val="32"/>
        </w:rPr>
        <w:t>密切关注经济形势变化，准确掌握税源变化，提高组织收入的预见性。税务部门要加强税收征管，严格组织收入措施，夯实征管基础。</w:t>
      </w:r>
      <w:r>
        <w:rPr>
          <w:rFonts w:hint="eastAsia" w:ascii="宋体" w:hAnsi="宋体" w:eastAsia="宋体" w:cs="宋体"/>
          <w:b w:val="0"/>
          <w:bCs/>
          <w:color w:val="000000"/>
          <w:sz w:val="32"/>
          <w:szCs w:val="32"/>
        </w:rPr>
        <w:t>全市一盘棋，切实发挥综合治税效应，提升税收征管质效，挖掘隐蔽税源和潜在税源，确保目标任务落实到位。</w:t>
      </w:r>
    </w:p>
    <w:p>
      <w:pPr>
        <w:widowControl/>
        <w:spacing w:line="560" w:lineRule="exact"/>
        <w:ind w:firstLine="640" w:firstLineChars="200"/>
        <w:rPr>
          <w:rFonts w:hint="eastAsia" w:ascii="宋体" w:hAnsi="宋体" w:eastAsia="宋体" w:cs="宋体"/>
          <w:b w:val="0"/>
          <w:bCs/>
          <w:sz w:val="32"/>
          <w:szCs w:val="32"/>
        </w:rPr>
      </w:pPr>
      <w:r>
        <w:rPr>
          <w:rFonts w:hint="eastAsia" w:ascii="宋体" w:hAnsi="宋体" w:eastAsia="宋体" w:cs="宋体"/>
          <w:b w:val="0"/>
          <w:bCs/>
          <w:sz w:val="32"/>
          <w:szCs w:val="32"/>
        </w:rPr>
        <w:t>（二）加强常规性非税收入管理，加大闲置国有资产处置力度。</w:t>
      </w:r>
      <w:r>
        <w:rPr>
          <w:rFonts w:hint="eastAsia" w:ascii="宋体" w:hAnsi="宋体" w:eastAsia="宋体" w:cs="宋体"/>
          <w:b w:val="0"/>
          <w:bCs/>
          <w:color w:val="000000"/>
          <w:sz w:val="32"/>
          <w:szCs w:val="32"/>
        </w:rPr>
        <w:t>加强非税收入监管，</w:t>
      </w:r>
      <w:r>
        <w:rPr>
          <w:rFonts w:hint="eastAsia" w:ascii="宋体" w:hAnsi="宋体" w:eastAsia="宋体" w:cs="宋体"/>
          <w:b w:val="0"/>
          <w:bCs/>
          <w:sz w:val="32"/>
          <w:szCs w:val="32"/>
        </w:rPr>
        <w:t>盘活闲置国有资产，处置政府建设的安置房、配套商网</w:t>
      </w:r>
      <w:r>
        <w:rPr>
          <w:rFonts w:hint="eastAsia" w:ascii="宋体" w:hAnsi="宋体" w:eastAsia="宋体" w:cs="宋体"/>
          <w:b w:val="0"/>
          <w:bCs/>
          <w:color w:val="000000" w:themeColor="text1"/>
          <w:sz w:val="32"/>
          <w:szCs w:val="32"/>
        </w:rPr>
        <w:t>，</w:t>
      </w:r>
      <w:r>
        <w:rPr>
          <w:rFonts w:hint="eastAsia" w:ascii="宋体" w:hAnsi="宋体" w:eastAsia="宋体" w:cs="宋体"/>
          <w:b w:val="0"/>
          <w:bCs/>
          <w:color w:val="000000"/>
          <w:sz w:val="32"/>
          <w:szCs w:val="32"/>
        </w:rPr>
        <w:t>努力挖掘非税收入增收潜力，</w:t>
      </w:r>
      <w:r>
        <w:rPr>
          <w:rFonts w:hint="eastAsia" w:ascii="宋体" w:hAnsi="宋体" w:eastAsia="宋体" w:cs="宋体"/>
          <w:b w:val="0"/>
          <w:bCs/>
          <w:sz w:val="32"/>
          <w:szCs w:val="32"/>
        </w:rPr>
        <w:t>以非税增收弥补税收短收。</w:t>
      </w:r>
    </w:p>
    <w:p>
      <w:pPr>
        <w:widowControl/>
        <w:spacing w:line="560" w:lineRule="exact"/>
        <w:ind w:firstLine="640" w:firstLineChars="200"/>
        <w:rPr>
          <w:rFonts w:hint="eastAsia" w:ascii="宋体" w:hAnsi="宋体" w:eastAsia="宋体" w:cs="宋体"/>
          <w:b w:val="0"/>
          <w:bCs/>
          <w:sz w:val="32"/>
          <w:szCs w:val="32"/>
        </w:rPr>
      </w:pPr>
      <w:r>
        <w:rPr>
          <w:rFonts w:hint="eastAsia" w:ascii="宋体" w:hAnsi="宋体" w:eastAsia="宋体" w:cs="宋体"/>
          <w:b w:val="0"/>
          <w:bCs/>
          <w:sz w:val="32"/>
          <w:szCs w:val="32"/>
        </w:rPr>
        <w:t>（三）全力推进支出进度，提高财政保障水平</w:t>
      </w:r>
    </w:p>
    <w:p>
      <w:pPr>
        <w:widowControl/>
        <w:spacing w:line="560" w:lineRule="exact"/>
        <w:ind w:firstLine="640" w:firstLineChars="200"/>
        <w:rPr>
          <w:rFonts w:hint="eastAsia" w:ascii="宋体" w:hAnsi="宋体" w:eastAsia="宋体" w:cs="宋体"/>
          <w:b w:val="0"/>
          <w:bCs/>
          <w:sz w:val="32"/>
          <w:szCs w:val="32"/>
        </w:rPr>
      </w:pPr>
      <w:r>
        <w:rPr>
          <w:rFonts w:hint="eastAsia" w:ascii="宋体" w:hAnsi="宋体" w:eastAsia="宋体" w:cs="宋体"/>
          <w:b w:val="0"/>
          <w:bCs/>
          <w:sz w:val="32"/>
          <w:szCs w:val="32"/>
        </w:rPr>
        <w:t>严格控制一般性支出，确保“三保”支出资金需求，及时掌握预算执行动态，督促项目主管部门提早做好项目前期准备工作，推动重点单位和重点项目加快预算执行，增强财政资金支出管理工作的前瞻性和主动性，避免出现往年下半年才发力的被动局面。</w:t>
      </w: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hint="eastAsia" w:ascii="方正仿宋_GBK" w:hAnsi="方正黑体_GBK" w:eastAsia="方正仿宋_GBK" w:cs="方正黑体_GBK"/>
          <w:bCs/>
          <w:sz w:val="32"/>
          <w:szCs w:val="32"/>
        </w:rPr>
      </w:pPr>
      <w:r>
        <w:rPr>
          <w:rFonts w:ascii="方正仿宋_GBK" w:hAnsi="方正黑体_GBK" w:eastAsia="方正仿宋_GBK" w:cs="方正黑体_GBK"/>
          <w:bCs/>
          <w:sz w:val="32"/>
          <w:szCs w:val="32"/>
        </w:rPr>
        <w:drawing>
          <wp:anchor distT="0" distB="0" distL="114300" distR="114300" simplePos="0" relativeHeight="251683840" behindDoc="0" locked="0" layoutInCell="1" allowOverlap="1">
            <wp:simplePos x="0" y="0"/>
            <wp:positionH relativeFrom="column">
              <wp:posOffset>-74295</wp:posOffset>
            </wp:positionH>
            <wp:positionV relativeFrom="paragraph">
              <wp:posOffset>121920</wp:posOffset>
            </wp:positionV>
            <wp:extent cx="5669280" cy="3019425"/>
            <wp:effectExtent l="19050" t="0" r="7620" b="0"/>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noChangeArrowheads="1"/>
                    </pic:cNvPicPr>
                  </pic:nvPicPr>
                  <pic:blipFill>
                    <a:blip r:embed="rId10" cstate="print"/>
                    <a:srcRect/>
                    <a:stretch>
                      <a:fillRect/>
                    </a:stretch>
                  </pic:blipFill>
                  <pic:spPr>
                    <a:xfrm>
                      <a:off x="0" y="0"/>
                      <a:ext cx="5669280" cy="3019425"/>
                    </a:xfrm>
                    <a:prstGeom prst="rect">
                      <a:avLst/>
                    </a:prstGeom>
                    <a:noFill/>
                  </pic:spPr>
                </pic:pic>
              </a:graphicData>
            </a:graphic>
          </wp:anchor>
        </w:drawing>
      </w:r>
    </w:p>
    <w:p>
      <w:pPr>
        <w:widowControl/>
        <w:spacing w:line="560" w:lineRule="exact"/>
        <w:ind w:firstLine="640" w:firstLineChars="200"/>
        <w:rPr>
          <w:rFonts w:hint="eastAsia" w:ascii="方正仿宋_GBK" w:hAnsi="方正黑体_GBK" w:eastAsia="方正仿宋_GBK" w:cs="方正黑体_GBK"/>
          <w:bCs/>
          <w:sz w:val="32"/>
          <w:szCs w:val="32"/>
        </w:rPr>
      </w:pPr>
    </w:p>
    <w:p>
      <w:pPr>
        <w:widowControl/>
        <w:spacing w:line="560" w:lineRule="exact"/>
        <w:ind w:firstLine="640" w:firstLineChars="200"/>
        <w:rPr>
          <w:rFonts w:hint="eastAsia" w:ascii="方正仿宋_GBK" w:hAnsi="方正黑体_GBK" w:eastAsia="方正仿宋_GBK" w:cs="方正黑体_GBK"/>
          <w:bCs/>
          <w:sz w:val="32"/>
          <w:szCs w:val="32"/>
        </w:rPr>
      </w:pPr>
    </w:p>
    <w:p>
      <w:pPr>
        <w:widowControl/>
        <w:spacing w:line="560" w:lineRule="exact"/>
        <w:ind w:firstLine="640" w:firstLineChars="200"/>
        <w:rPr>
          <w:rFonts w:hint="eastAsia" w:ascii="方正仿宋_GBK" w:hAnsi="方正黑体_GBK" w:eastAsia="方正仿宋_GBK" w:cs="方正黑体_GBK"/>
          <w:bCs/>
          <w:sz w:val="32"/>
          <w:szCs w:val="32"/>
        </w:rPr>
      </w:pPr>
    </w:p>
    <w:p>
      <w:pPr>
        <w:widowControl/>
        <w:spacing w:line="560" w:lineRule="exact"/>
        <w:ind w:firstLine="640" w:firstLineChars="200"/>
        <w:rPr>
          <w:rFonts w:hint="eastAsia" w:ascii="方正仿宋_GBK" w:hAnsi="方正黑体_GBK" w:eastAsia="方正仿宋_GBK" w:cs="方正黑体_GBK"/>
          <w:bCs/>
          <w:sz w:val="32"/>
          <w:szCs w:val="32"/>
        </w:rPr>
      </w:pPr>
    </w:p>
    <w:p>
      <w:pPr>
        <w:widowControl/>
        <w:spacing w:line="560" w:lineRule="exact"/>
        <w:ind w:firstLine="640" w:firstLineChars="200"/>
        <w:rPr>
          <w:rFonts w:hint="eastAsia" w:ascii="方正仿宋_GBK" w:hAnsi="方正黑体_GBK" w:eastAsia="方正仿宋_GBK" w:cs="方正黑体_GBK"/>
          <w:bCs/>
          <w:sz w:val="32"/>
          <w:szCs w:val="32"/>
        </w:rPr>
      </w:pPr>
    </w:p>
    <w:p>
      <w:pPr>
        <w:widowControl/>
        <w:spacing w:line="560" w:lineRule="exact"/>
        <w:ind w:firstLine="640" w:firstLineChars="200"/>
        <w:rPr>
          <w:rFonts w:hint="eastAsia" w:ascii="方正仿宋_GBK" w:hAnsi="方正黑体_GBK" w:eastAsia="方正仿宋_GBK" w:cs="方正黑体_GBK"/>
          <w:bCs/>
          <w:sz w:val="32"/>
          <w:szCs w:val="32"/>
        </w:rPr>
      </w:pPr>
    </w:p>
    <w:p>
      <w:pPr>
        <w:widowControl/>
        <w:spacing w:line="560" w:lineRule="exact"/>
        <w:ind w:firstLine="640" w:firstLineChars="200"/>
        <w:rPr>
          <w:rFonts w:hint="eastAsia" w:ascii="方正仿宋_GBK" w:hAnsi="方正黑体_GBK" w:eastAsia="方正仿宋_GBK" w:cs="方正黑体_GBK"/>
          <w:bCs/>
          <w:sz w:val="32"/>
          <w:szCs w:val="32"/>
        </w:rPr>
      </w:pPr>
    </w:p>
    <w:p>
      <w:pPr>
        <w:widowControl/>
        <w:spacing w:line="560" w:lineRule="exact"/>
        <w:ind w:firstLine="640" w:firstLineChars="200"/>
        <w:rPr>
          <w:rFonts w:hint="eastAsia" w:ascii="方正仿宋_GBK" w:hAnsi="方正黑体_GBK" w:eastAsia="方正仿宋_GBK" w:cs="方正黑体_GBK"/>
          <w:bCs/>
          <w:sz w:val="32"/>
          <w:szCs w:val="32"/>
        </w:rPr>
      </w:pPr>
    </w:p>
    <w:p>
      <w:pPr>
        <w:widowControl/>
        <w:spacing w:line="560" w:lineRule="exact"/>
        <w:ind w:firstLine="640" w:firstLineChars="200"/>
        <w:rPr>
          <w:rFonts w:hint="eastAsia"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r>
        <w:rPr>
          <w:rFonts w:ascii="方正仿宋_GBK" w:hAnsi="方正黑体_GBK" w:eastAsia="方正仿宋_GBK" w:cs="方正黑体_GBK"/>
          <w:bCs/>
          <w:sz w:val="32"/>
          <w:szCs w:val="32"/>
        </w:rPr>
        <w:drawing>
          <wp:anchor distT="0" distB="0" distL="114300" distR="114300" simplePos="0" relativeHeight="251684864" behindDoc="0" locked="0" layoutInCell="1" allowOverlap="1">
            <wp:simplePos x="0" y="0"/>
            <wp:positionH relativeFrom="column">
              <wp:posOffset>-506730</wp:posOffset>
            </wp:positionH>
            <wp:positionV relativeFrom="paragraph">
              <wp:posOffset>112395</wp:posOffset>
            </wp:positionV>
            <wp:extent cx="6381750" cy="3571875"/>
            <wp:effectExtent l="19050" t="0" r="0" b="0"/>
            <wp:wrapNone/>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noChangeArrowheads="1"/>
                    </pic:cNvPicPr>
                  </pic:nvPicPr>
                  <pic:blipFill>
                    <a:blip r:embed="rId11" cstate="print"/>
                    <a:srcRect/>
                    <a:stretch>
                      <a:fillRect/>
                    </a:stretch>
                  </pic:blipFill>
                  <pic:spPr>
                    <a:xfrm>
                      <a:off x="0" y="0"/>
                      <a:ext cx="6381750" cy="3571875"/>
                    </a:xfrm>
                    <a:prstGeom prst="rect">
                      <a:avLst/>
                    </a:prstGeom>
                    <a:noFill/>
                  </pic:spPr>
                </pic:pic>
              </a:graphicData>
            </a:graphic>
          </wp:anchor>
        </w:drawing>
      </w: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r>
        <w:rPr>
          <w:rFonts w:ascii="方正仿宋_GBK" w:hAnsi="方正黑体_GBK" w:eastAsia="方正仿宋_GBK" w:cs="方正黑体_GBK"/>
          <w:bCs/>
          <w:sz w:val="32"/>
          <w:szCs w:val="32"/>
        </w:rPr>
        <w:drawing>
          <wp:anchor distT="0" distB="0" distL="114300" distR="114300" simplePos="0" relativeHeight="251685888" behindDoc="0" locked="0" layoutInCell="1" allowOverlap="1">
            <wp:simplePos x="0" y="0"/>
            <wp:positionH relativeFrom="column">
              <wp:posOffset>-451485</wp:posOffset>
            </wp:positionH>
            <wp:positionV relativeFrom="paragraph">
              <wp:posOffset>182245</wp:posOffset>
            </wp:positionV>
            <wp:extent cx="6400800" cy="3171825"/>
            <wp:effectExtent l="19050" t="0" r="0" b="0"/>
            <wp:wrapNone/>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noChangeArrowheads="1"/>
                    </pic:cNvPicPr>
                  </pic:nvPicPr>
                  <pic:blipFill>
                    <a:blip r:embed="rId12" cstate="print"/>
                    <a:srcRect/>
                    <a:stretch>
                      <a:fillRect/>
                    </a:stretch>
                  </pic:blipFill>
                  <pic:spPr>
                    <a:xfrm>
                      <a:off x="0" y="0"/>
                      <a:ext cx="6400800" cy="3171825"/>
                    </a:xfrm>
                    <a:prstGeom prst="rect">
                      <a:avLst/>
                    </a:prstGeom>
                    <a:noFill/>
                  </pic:spPr>
                </pic:pic>
              </a:graphicData>
            </a:graphic>
          </wp:anchor>
        </w:drawing>
      </w: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r>
        <w:rPr>
          <w:rFonts w:ascii="方正仿宋_GBK" w:hAnsi="方正黑体_GBK" w:eastAsia="方正仿宋_GBK" w:cs="方正黑体_GBK"/>
          <w:bCs/>
          <w:sz w:val="32"/>
          <w:szCs w:val="32"/>
        </w:rPr>
        <w:drawing>
          <wp:anchor distT="0" distB="0" distL="114300" distR="114300" simplePos="0" relativeHeight="251686912" behindDoc="0" locked="0" layoutInCell="1" allowOverlap="1">
            <wp:simplePos x="0" y="0"/>
            <wp:positionH relativeFrom="column">
              <wp:posOffset>-333375</wp:posOffset>
            </wp:positionH>
            <wp:positionV relativeFrom="paragraph">
              <wp:posOffset>164465</wp:posOffset>
            </wp:positionV>
            <wp:extent cx="6339840" cy="3619500"/>
            <wp:effectExtent l="19050" t="0" r="3810" b="0"/>
            <wp:wrapNone/>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pic:cNvPicPr>
                      <a:picLocks noChangeAspect="1" noChangeArrowheads="1"/>
                    </pic:cNvPicPr>
                  </pic:nvPicPr>
                  <pic:blipFill>
                    <a:blip r:embed="rId13" cstate="print"/>
                    <a:srcRect/>
                    <a:stretch>
                      <a:fillRect/>
                    </a:stretch>
                  </pic:blipFill>
                  <pic:spPr>
                    <a:xfrm>
                      <a:off x="0" y="0"/>
                      <a:ext cx="6339840" cy="3619500"/>
                    </a:xfrm>
                    <a:prstGeom prst="rect">
                      <a:avLst/>
                    </a:prstGeom>
                    <a:noFill/>
                  </pic:spPr>
                </pic:pic>
              </a:graphicData>
            </a:graphic>
          </wp:anchor>
        </w:drawing>
      </w: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r>
        <w:rPr>
          <w:rFonts w:ascii="方正仿宋_GBK" w:hAnsi="方正黑体_GBK" w:eastAsia="方正仿宋_GBK" w:cs="方正黑体_GBK"/>
          <w:bCs/>
          <w:sz w:val="32"/>
          <w:szCs w:val="32"/>
        </w:rPr>
        <w:drawing>
          <wp:anchor distT="0" distB="0" distL="114300" distR="114300" simplePos="0" relativeHeight="251687936" behindDoc="0" locked="0" layoutInCell="1" allowOverlap="1">
            <wp:simplePos x="0" y="0"/>
            <wp:positionH relativeFrom="column">
              <wp:posOffset>-411480</wp:posOffset>
            </wp:positionH>
            <wp:positionV relativeFrom="paragraph">
              <wp:posOffset>245745</wp:posOffset>
            </wp:positionV>
            <wp:extent cx="6305550" cy="3352800"/>
            <wp:effectExtent l="19050" t="0" r="0" b="0"/>
            <wp:wrapNone/>
            <wp:docPr id="1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pic:cNvPicPr>
                      <a:picLocks noChangeAspect="1" noChangeArrowheads="1"/>
                    </pic:cNvPicPr>
                  </pic:nvPicPr>
                  <pic:blipFill>
                    <a:blip r:embed="rId14" cstate="print"/>
                    <a:srcRect/>
                    <a:stretch>
                      <a:fillRect/>
                    </a:stretch>
                  </pic:blipFill>
                  <pic:spPr>
                    <a:xfrm>
                      <a:off x="0" y="0"/>
                      <a:ext cx="6305550" cy="3352800"/>
                    </a:xfrm>
                    <a:prstGeom prst="rect">
                      <a:avLst/>
                    </a:prstGeom>
                    <a:noFill/>
                  </pic:spPr>
                </pic:pic>
              </a:graphicData>
            </a:graphic>
          </wp:anchor>
        </w:drawing>
      </w: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pStyle w:val="9"/>
        <w:widowControl/>
        <w:spacing w:line="560" w:lineRule="exact"/>
        <w:ind w:left="1060" w:firstLine="0" w:firstLineChars="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hint="eastAsia"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r>
        <w:rPr>
          <w:rFonts w:ascii="方正仿宋_GBK" w:hAnsi="方正黑体_GBK" w:eastAsia="方正仿宋_GBK" w:cs="方正黑体_GBK"/>
          <w:bCs/>
          <w:sz w:val="32"/>
          <w:szCs w:val="32"/>
        </w:rPr>
        <w:drawing>
          <wp:anchor distT="0" distB="0" distL="114300" distR="114300" simplePos="0" relativeHeight="251688960" behindDoc="0" locked="0" layoutInCell="1" allowOverlap="1">
            <wp:simplePos x="0" y="0"/>
            <wp:positionH relativeFrom="column">
              <wp:posOffset>-449580</wp:posOffset>
            </wp:positionH>
            <wp:positionV relativeFrom="paragraph">
              <wp:posOffset>-204470</wp:posOffset>
            </wp:positionV>
            <wp:extent cx="6267450" cy="3657600"/>
            <wp:effectExtent l="19050" t="0" r="0" b="0"/>
            <wp:wrapNone/>
            <wp:docPr id="1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
                    <pic:cNvPicPr>
                      <a:picLocks noChangeAspect="1" noChangeArrowheads="1"/>
                    </pic:cNvPicPr>
                  </pic:nvPicPr>
                  <pic:blipFill>
                    <a:blip r:embed="rId15" cstate="print"/>
                    <a:srcRect/>
                    <a:stretch>
                      <a:fillRect/>
                    </a:stretch>
                  </pic:blipFill>
                  <pic:spPr>
                    <a:xfrm>
                      <a:off x="0" y="0"/>
                      <a:ext cx="6267450" cy="3657600"/>
                    </a:xfrm>
                    <a:prstGeom prst="rect">
                      <a:avLst/>
                    </a:prstGeom>
                    <a:noFill/>
                  </pic:spPr>
                </pic:pic>
              </a:graphicData>
            </a:graphic>
          </wp:anchor>
        </w:drawing>
      </w: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r>
        <w:rPr>
          <w:rFonts w:ascii="方正仿宋_GBK" w:hAnsi="方正黑体_GBK" w:eastAsia="方正仿宋_GBK" w:cs="方正黑体_GBK"/>
          <w:bCs/>
          <w:sz w:val="32"/>
          <w:szCs w:val="32"/>
        </w:rPr>
        <w:drawing>
          <wp:anchor distT="0" distB="0" distL="114300" distR="114300" simplePos="0" relativeHeight="251689984" behindDoc="0" locked="0" layoutInCell="1" allowOverlap="1">
            <wp:simplePos x="0" y="0"/>
            <wp:positionH relativeFrom="column">
              <wp:posOffset>-453390</wp:posOffset>
            </wp:positionH>
            <wp:positionV relativeFrom="paragraph">
              <wp:posOffset>172085</wp:posOffset>
            </wp:positionV>
            <wp:extent cx="6629400" cy="3400425"/>
            <wp:effectExtent l="19050" t="0" r="0" b="0"/>
            <wp:wrapNone/>
            <wp:docPr id="1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8"/>
                    <pic:cNvPicPr>
                      <a:picLocks noChangeAspect="1" noChangeArrowheads="1"/>
                    </pic:cNvPicPr>
                  </pic:nvPicPr>
                  <pic:blipFill>
                    <a:blip r:embed="rId16" cstate="print"/>
                    <a:srcRect/>
                    <a:stretch>
                      <a:fillRect/>
                    </a:stretch>
                  </pic:blipFill>
                  <pic:spPr>
                    <a:xfrm>
                      <a:off x="0" y="0"/>
                      <a:ext cx="6629400" cy="3400425"/>
                    </a:xfrm>
                    <a:prstGeom prst="rect">
                      <a:avLst/>
                    </a:prstGeom>
                    <a:noFill/>
                  </pic:spPr>
                </pic:pic>
              </a:graphicData>
            </a:graphic>
          </wp:anchor>
        </w:drawing>
      </w: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r>
        <w:rPr>
          <w:rFonts w:ascii="方正仿宋_GBK" w:hAnsi="方正黑体_GBK" w:eastAsia="方正仿宋_GBK" w:cs="方正黑体_GBK"/>
          <w:bCs/>
          <w:sz w:val="32"/>
          <w:szCs w:val="32"/>
        </w:rPr>
        <w:drawing>
          <wp:anchor distT="0" distB="0" distL="114300" distR="114300" simplePos="0" relativeHeight="251691008" behindDoc="0" locked="0" layoutInCell="1" allowOverlap="1">
            <wp:simplePos x="0" y="0"/>
            <wp:positionH relativeFrom="column">
              <wp:posOffset>-411480</wp:posOffset>
            </wp:positionH>
            <wp:positionV relativeFrom="paragraph">
              <wp:posOffset>59055</wp:posOffset>
            </wp:positionV>
            <wp:extent cx="6339840" cy="3657600"/>
            <wp:effectExtent l="19050" t="0" r="3810" b="0"/>
            <wp:wrapNone/>
            <wp:docPr id="2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9"/>
                    <pic:cNvPicPr>
                      <a:picLocks noChangeAspect="1" noChangeArrowheads="1"/>
                    </pic:cNvPicPr>
                  </pic:nvPicPr>
                  <pic:blipFill>
                    <a:blip r:embed="rId17" cstate="print"/>
                    <a:srcRect/>
                    <a:stretch>
                      <a:fillRect/>
                    </a:stretch>
                  </pic:blipFill>
                  <pic:spPr>
                    <a:xfrm>
                      <a:off x="0" y="0"/>
                      <a:ext cx="6339840" cy="3657600"/>
                    </a:xfrm>
                    <a:prstGeom prst="rect">
                      <a:avLst/>
                    </a:prstGeom>
                    <a:noFill/>
                  </pic:spPr>
                </pic:pic>
              </a:graphicData>
            </a:graphic>
          </wp:anchor>
        </w:drawing>
      </w: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r>
        <w:rPr>
          <w:rFonts w:ascii="方正仿宋_GBK" w:hAnsi="方正黑体_GBK" w:eastAsia="方正仿宋_GBK" w:cs="方正黑体_GBK"/>
          <w:bCs/>
          <w:sz w:val="32"/>
          <w:szCs w:val="32"/>
        </w:rPr>
        <w:drawing>
          <wp:anchor distT="0" distB="0" distL="114300" distR="114300" simplePos="0" relativeHeight="251692032" behindDoc="0" locked="0" layoutInCell="1" allowOverlap="1">
            <wp:simplePos x="0" y="0"/>
            <wp:positionH relativeFrom="column">
              <wp:posOffset>-158115</wp:posOffset>
            </wp:positionH>
            <wp:positionV relativeFrom="paragraph">
              <wp:posOffset>233680</wp:posOffset>
            </wp:positionV>
            <wp:extent cx="6019800" cy="4152900"/>
            <wp:effectExtent l="19050" t="0" r="0" b="0"/>
            <wp:wrapNone/>
            <wp:docPr id="2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1"/>
                    <pic:cNvPicPr>
                      <a:picLocks noChangeAspect="1" noChangeArrowheads="1"/>
                    </pic:cNvPicPr>
                  </pic:nvPicPr>
                  <pic:blipFill>
                    <a:blip r:embed="rId18" cstate="print"/>
                    <a:srcRect/>
                    <a:stretch>
                      <a:fillRect/>
                    </a:stretch>
                  </pic:blipFill>
                  <pic:spPr>
                    <a:xfrm>
                      <a:off x="0" y="0"/>
                      <a:ext cx="6019800" cy="4152900"/>
                    </a:xfrm>
                    <a:prstGeom prst="rect">
                      <a:avLst/>
                    </a:prstGeom>
                    <a:noFill/>
                  </pic:spPr>
                </pic:pic>
              </a:graphicData>
            </a:graphic>
          </wp:anchor>
        </w:drawing>
      </w: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r>
        <w:rPr>
          <w:rFonts w:ascii="方正仿宋_GBK" w:hAnsi="方正黑体_GBK" w:eastAsia="方正仿宋_GBK" w:cs="方正黑体_GBK"/>
          <w:bCs/>
          <w:sz w:val="32"/>
          <w:szCs w:val="32"/>
        </w:rPr>
        <w:drawing>
          <wp:anchor distT="0" distB="0" distL="114300" distR="114300" simplePos="0" relativeHeight="251693056" behindDoc="0" locked="0" layoutInCell="1" allowOverlap="1">
            <wp:simplePos x="0" y="0"/>
            <wp:positionH relativeFrom="column">
              <wp:posOffset>-436245</wp:posOffset>
            </wp:positionH>
            <wp:positionV relativeFrom="paragraph">
              <wp:posOffset>261620</wp:posOffset>
            </wp:positionV>
            <wp:extent cx="6657975" cy="4181475"/>
            <wp:effectExtent l="19050" t="0" r="9525" b="0"/>
            <wp:wrapNone/>
            <wp:docPr id="2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2"/>
                    <pic:cNvPicPr>
                      <a:picLocks noChangeAspect="1" noChangeArrowheads="1"/>
                    </pic:cNvPicPr>
                  </pic:nvPicPr>
                  <pic:blipFill>
                    <a:blip r:embed="rId19" cstate="print"/>
                    <a:srcRect/>
                    <a:stretch>
                      <a:fillRect/>
                    </a:stretch>
                  </pic:blipFill>
                  <pic:spPr>
                    <a:xfrm>
                      <a:off x="0" y="0"/>
                      <a:ext cx="6657975" cy="4181475"/>
                    </a:xfrm>
                    <a:prstGeom prst="rect">
                      <a:avLst/>
                    </a:prstGeom>
                    <a:noFill/>
                  </pic:spPr>
                </pic:pic>
              </a:graphicData>
            </a:graphic>
          </wp:anchor>
        </w:drawing>
      </w: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18" w:right="1588" w:bottom="1418" w:left="1644" w:header="851" w:footer="992" w:gutter="0"/>
          <w:pgNumType w:fmt="numberInDash"/>
          <w:cols w:space="425" w:num="1"/>
          <w:docGrid w:type="lines" w:linePitch="312" w:charSpace="0"/>
        </w:sectPr>
      </w:pPr>
    </w:p>
    <w:p>
      <w:pPr>
        <w:widowControl/>
        <w:spacing w:line="560" w:lineRule="exact"/>
        <w:ind w:firstLine="420" w:firstLineChars="200"/>
        <w:rPr>
          <w:rFonts w:ascii="方正仿宋_GBK" w:hAnsi="方正黑体_GBK" w:eastAsia="方正仿宋_GBK" w:cs="方正黑体_GBK"/>
          <w:bCs/>
          <w:sz w:val="32"/>
          <w:szCs w:val="32"/>
        </w:rPr>
      </w:pPr>
      <w:r>
        <w:rPr>
          <w:szCs w:val="32"/>
        </w:rPr>
        <w:drawing>
          <wp:anchor distT="0" distB="0" distL="114300" distR="114300" simplePos="0" relativeHeight="251694080" behindDoc="0" locked="0" layoutInCell="1" allowOverlap="1">
            <wp:simplePos x="0" y="0"/>
            <wp:positionH relativeFrom="column">
              <wp:posOffset>-24130</wp:posOffset>
            </wp:positionH>
            <wp:positionV relativeFrom="paragraph">
              <wp:posOffset>-222885</wp:posOffset>
            </wp:positionV>
            <wp:extent cx="8891270" cy="5657850"/>
            <wp:effectExtent l="19050" t="0" r="5080" b="0"/>
            <wp:wrapNone/>
            <wp:docPr id="2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2"/>
                    <pic:cNvPicPr>
                      <a:picLocks noChangeAspect="1" noChangeArrowheads="1"/>
                    </pic:cNvPicPr>
                  </pic:nvPicPr>
                  <pic:blipFill>
                    <a:blip r:embed="rId20" cstate="print"/>
                    <a:srcRect/>
                    <a:stretch>
                      <a:fillRect/>
                    </a:stretch>
                  </pic:blipFill>
                  <pic:spPr>
                    <a:xfrm>
                      <a:off x="0" y="0"/>
                      <a:ext cx="8891270" cy="5657850"/>
                    </a:xfrm>
                    <a:prstGeom prst="rect">
                      <a:avLst/>
                    </a:prstGeom>
                    <a:noFill/>
                    <a:ln w="9525">
                      <a:noFill/>
                      <a:miter lim="800000"/>
                      <a:headEnd/>
                      <a:tailEnd/>
                    </a:ln>
                  </pic:spPr>
                </pic:pic>
              </a:graphicData>
            </a:graphic>
          </wp:anchor>
        </w:drawing>
      </w: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640" w:firstLineChars="200"/>
        <w:rPr>
          <w:rFonts w:ascii="方正仿宋_GBK" w:hAnsi="方正黑体_GBK" w:eastAsia="方正仿宋_GBK" w:cs="方正黑体_GBK"/>
          <w:bCs/>
          <w:sz w:val="32"/>
          <w:szCs w:val="32"/>
        </w:rPr>
      </w:pPr>
    </w:p>
    <w:p>
      <w:pPr>
        <w:widowControl/>
        <w:spacing w:line="560" w:lineRule="exact"/>
        <w:ind w:firstLine="420" w:firstLineChars="200"/>
        <w:rPr>
          <w:rFonts w:ascii="方正仿宋_GBK" w:hAnsi="方正黑体_GBK" w:eastAsia="方正仿宋_GBK" w:cs="方正黑体_GBK"/>
          <w:bCs/>
          <w:sz w:val="32"/>
          <w:szCs w:val="32"/>
        </w:rPr>
      </w:pPr>
      <w:r>
        <w:rPr>
          <w:szCs w:val="32"/>
        </w:rPr>
        <w:drawing>
          <wp:anchor distT="0" distB="0" distL="114300" distR="114300" simplePos="0" relativeHeight="251695104" behindDoc="0" locked="0" layoutInCell="1" allowOverlap="1">
            <wp:simplePos x="0" y="0"/>
            <wp:positionH relativeFrom="column">
              <wp:posOffset>-24130</wp:posOffset>
            </wp:positionH>
            <wp:positionV relativeFrom="paragraph">
              <wp:posOffset>-461010</wp:posOffset>
            </wp:positionV>
            <wp:extent cx="8891270" cy="5953125"/>
            <wp:effectExtent l="19050" t="0" r="5080" b="0"/>
            <wp:wrapNone/>
            <wp:docPr id="2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3"/>
                    <pic:cNvPicPr>
                      <a:picLocks noChangeAspect="1" noChangeArrowheads="1"/>
                    </pic:cNvPicPr>
                  </pic:nvPicPr>
                  <pic:blipFill>
                    <a:blip r:embed="rId21" cstate="print"/>
                    <a:srcRect/>
                    <a:stretch>
                      <a:fillRect/>
                    </a:stretch>
                  </pic:blipFill>
                  <pic:spPr>
                    <a:xfrm>
                      <a:off x="0" y="0"/>
                      <a:ext cx="8891270" cy="5953125"/>
                    </a:xfrm>
                    <a:prstGeom prst="rect">
                      <a:avLst/>
                    </a:prstGeom>
                    <a:noFill/>
                    <a:ln w="9525">
                      <a:noFill/>
                      <a:miter lim="800000"/>
                      <a:headEnd/>
                      <a:tailEnd/>
                    </a:ln>
                  </pic:spPr>
                </pic:pic>
              </a:graphicData>
            </a:graphic>
          </wp:anchor>
        </w:drawing>
      </w:r>
    </w:p>
    <w:p>
      <w:pPr>
        <w:widowControl/>
        <w:spacing w:line="560" w:lineRule="exact"/>
        <w:ind w:firstLine="640" w:firstLineChars="200"/>
        <w:rPr>
          <w:rFonts w:ascii="方正仿宋_GBK" w:hAnsi="方正黑体_GBK" w:eastAsia="方正仿宋_GBK" w:cs="方正黑体_GBK"/>
          <w:bCs/>
          <w:sz w:val="32"/>
          <w:szCs w:val="32"/>
        </w:rPr>
      </w:pPr>
    </w:p>
    <w:sectPr>
      <w:pgSz w:w="16838" w:h="11906" w:orient="landscape"/>
      <w:pgMar w:top="1701" w:right="1418" w:bottom="1644" w:left="141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楷体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script"/>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057116B"/>
    <w:rsid w:val="000034C9"/>
    <w:rsid w:val="00011878"/>
    <w:rsid w:val="00016413"/>
    <w:rsid w:val="00016A11"/>
    <w:rsid w:val="00041A97"/>
    <w:rsid w:val="00052ED8"/>
    <w:rsid w:val="00054EFE"/>
    <w:rsid w:val="00080E56"/>
    <w:rsid w:val="00093BB3"/>
    <w:rsid w:val="000B7F13"/>
    <w:rsid w:val="000D22E6"/>
    <w:rsid w:val="00107AC8"/>
    <w:rsid w:val="001273E5"/>
    <w:rsid w:val="00132364"/>
    <w:rsid w:val="0014512C"/>
    <w:rsid w:val="00174143"/>
    <w:rsid w:val="001854BB"/>
    <w:rsid w:val="00186DF8"/>
    <w:rsid w:val="001918F7"/>
    <w:rsid w:val="001A0486"/>
    <w:rsid w:val="001C6488"/>
    <w:rsid w:val="001C70A8"/>
    <w:rsid w:val="001F0914"/>
    <w:rsid w:val="001F726F"/>
    <w:rsid w:val="00206DAA"/>
    <w:rsid w:val="00250AA7"/>
    <w:rsid w:val="00257289"/>
    <w:rsid w:val="00274DCC"/>
    <w:rsid w:val="00280280"/>
    <w:rsid w:val="0028375E"/>
    <w:rsid w:val="002B4603"/>
    <w:rsid w:val="002C3C21"/>
    <w:rsid w:val="002E7D62"/>
    <w:rsid w:val="002F4EBA"/>
    <w:rsid w:val="00337288"/>
    <w:rsid w:val="00385117"/>
    <w:rsid w:val="003A51AE"/>
    <w:rsid w:val="003B071E"/>
    <w:rsid w:val="003C5A40"/>
    <w:rsid w:val="003D26A0"/>
    <w:rsid w:val="003E2747"/>
    <w:rsid w:val="003F3321"/>
    <w:rsid w:val="00457CA3"/>
    <w:rsid w:val="004A00E7"/>
    <w:rsid w:val="004C5CDB"/>
    <w:rsid w:val="00510840"/>
    <w:rsid w:val="00514795"/>
    <w:rsid w:val="005152FA"/>
    <w:rsid w:val="0051590B"/>
    <w:rsid w:val="00527808"/>
    <w:rsid w:val="00543523"/>
    <w:rsid w:val="00567E87"/>
    <w:rsid w:val="00571476"/>
    <w:rsid w:val="00582F9B"/>
    <w:rsid w:val="00585928"/>
    <w:rsid w:val="00601584"/>
    <w:rsid w:val="0060507F"/>
    <w:rsid w:val="00612433"/>
    <w:rsid w:val="006742F0"/>
    <w:rsid w:val="00691540"/>
    <w:rsid w:val="00691A43"/>
    <w:rsid w:val="006A268B"/>
    <w:rsid w:val="006A4232"/>
    <w:rsid w:val="006B244A"/>
    <w:rsid w:val="006F0201"/>
    <w:rsid w:val="007E4D8D"/>
    <w:rsid w:val="007E6DFE"/>
    <w:rsid w:val="00814A73"/>
    <w:rsid w:val="00816E7B"/>
    <w:rsid w:val="008556C8"/>
    <w:rsid w:val="0088105B"/>
    <w:rsid w:val="00881FD8"/>
    <w:rsid w:val="00882135"/>
    <w:rsid w:val="0089737F"/>
    <w:rsid w:val="008A533E"/>
    <w:rsid w:val="008D5157"/>
    <w:rsid w:val="008E4FAB"/>
    <w:rsid w:val="008E6913"/>
    <w:rsid w:val="00912A62"/>
    <w:rsid w:val="009270E7"/>
    <w:rsid w:val="00953A33"/>
    <w:rsid w:val="009A07E9"/>
    <w:rsid w:val="009A0C03"/>
    <w:rsid w:val="009A1D3C"/>
    <w:rsid w:val="009B4D96"/>
    <w:rsid w:val="009E342B"/>
    <w:rsid w:val="009E43F1"/>
    <w:rsid w:val="00A05E4C"/>
    <w:rsid w:val="00A10FB3"/>
    <w:rsid w:val="00A17E25"/>
    <w:rsid w:val="00A2715C"/>
    <w:rsid w:val="00A724B5"/>
    <w:rsid w:val="00A76324"/>
    <w:rsid w:val="00A878AF"/>
    <w:rsid w:val="00AE2D15"/>
    <w:rsid w:val="00AF4EFF"/>
    <w:rsid w:val="00B30B4B"/>
    <w:rsid w:val="00B3387A"/>
    <w:rsid w:val="00B96FAD"/>
    <w:rsid w:val="00BB435B"/>
    <w:rsid w:val="00BC1278"/>
    <w:rsid w:val="00BC1351"/>
    <w:rsid w:val="00BD4869"/>
    <w:rsid w:val="00C310F6"/>
    <w:rsid w:val="00C4664B"/>
    <w:rsid w:val="00C632A9"/>
    <w:rsid w:val="00C8676A"/>
    <w:rsid w:val="00C92E1D"/>
    <w:rsid w:val="00CB0A43"/>
    <w:rsid w:val="00CC4F30"/>
    <w:rsid w:val="00CF2348"/>
    <w:rsid w:val="00CF5AFA"/>
    <w:rsid w:val="00D077E2"/>
    <w:rsid w:val="00D2470A"/>
    <w:rsid w:val="00D34F5B"/>
    <w:rsid w:val="00D71A9F"/>
    <w:rsid w:val="00D74013"/>
    <w:rsid w:val="00D924D7"/>
    <w:rsid w:val="00D96287"/>
    <w:rsid w:val="00DC7B98"/>
    <w:rsid w:val="00DD6387"/>
    <w:rsid w:val="00DE7F95"/>
    <w:rsid w:val="00E01152"/>
    <w:rsid w:val="00E31574"/>
    <w:rsid w:val="00E34C50"/>
    <w:rsid w:val="00E96848"/>
    <w:rsid w:val="00ED1690"/>
    <w:rsid w:val="00EF35A4"/>
    <w:rsid w:val="00EF3C75"/>
    <w:rsid w:val="00F1267C"/>
    <w:rsid w:val="00F13AF3"/>
    <w:rsid w:val="00F36DBB"/>
    <w:rsid w:val="00F471B7"/>
    <w:rsid w:val="00F614EC"/>
    <w:rsid w:val="00F77A84"/>
    <w:rsid w:val="00FB052F"/>
    <w:rsid w:val="00FB6BDA"/>
    <w:rsid w:val="00FF3620"/>
    <w:rsid w:val="01360B37"/>
    <w:rsid w:val="097042BE"/>
    <w:rsid w:val="0A2B4F10"/>
    <w:rsid w:val="0B73174C"/>
    <w:rsid w:val="0BA77143"/>
    <w:rsid w:val="0E1E5E45"/>
    <w:rsid w:val="11806335"/>
    <w:rsid w:val="134934D8"/>
    <w:rsid w:val="18611844"/>
    <w:rsid w:val="1A924348"/>
    <w:rsid w:val="1AF042BE"/>
    <w:rsid w:val="1B630E0B"/>
    <w:rsid w:val="1C7C66B2"/>
    <w:rsid w:val="1C8C4F10"/>
    <w:rsid w:val="1D985EBB"/>
    <w:rsid w:val="1F887A46"/>
    <w:rsid w:val="20E93A82"/>
    <w:rsid w:val="21A02360"/>
    <w:rsid w:val="23097552"/>
    <w:rsid w:val="23FC34FF"/>
    <w:rsid w:val="247C5DBC"/>
    <w:rsid w:val="250A3131"/>
    <w:rsid w:val="26D251DC"/>
    <w:rsid w:val="26D2535E"/>
    <w:rsid w:val="27053F3F"/>
    <w:rsid w:val="28017E67"/>
    <w:rsid w:val="291B653A"/>
    <w:rsid w:val="296014F9"/>
    <w:rsid w:val="29A42C57"/>
    <w:rsid w:val="29B922C9"/>
    <w:rsid w:val="29BF6B51"/>
    <w:rsid w:val="2B1D43B6"/>
    <w:rsid w:val="2C5C7911"/>
    <w:rsid w:val="2DD6667A"/>
    <w:rsid w:val="2E1D08A9"/>
    <w:rsid w:val="2E1E518A"/>
    <w:rsid w:val="2EB15575"/>
    <w:rsid w:val="2EC973FE"/>
    <w:rsid w:val="329C2218"/>
    <w:rsid w:val="34D54CB5"/>
    <w:rsid w:val="3CFE6404"/>
    <w:rsid w:val="3DF51AB1"/>
    <w:rsid w:val="422E0903"/>
    <w:rsid w:val="4358049F"/>
    <w:rsid w:val="44CF6C35"/>
    <w:rsid w:val="475C6E9F"/>
    <w:rsid w:val="4A294D9C"/>
    <w:rsid w:val="4BB12F6F"/>
    <w:rsid w:val="4C36761F"/>
    <w:rsid w:val="4C920A55"/>
    <w:rsid w:val="4D794C4F"/>
    <w:rsid w:val="4ED06C23"/>
    <w:rsid w:val="50327CC3"/>
    <w:rsid w:val="51515085"/>
    <w:rsid w:val="51B45ECB"/>
    <w:rsid w:val="51F32FC5"/>
    <w:rsid w:val="52B71B2F"/>
    <w:rsid w:val="550918A3"/>
    <w:rsid w:val="55522FE9"/>
    <w:rsid w:val="575B401E"/>
    <w:rsid w:val="57A8017D"/>
    <w:rsid w:val="58F02326"/>
    <w:rsid w:val="5AC267E9"/>
    <w:rsid w:val="5BB73EDC"/>
    <w:rsid w:val="5ECC43C9"/>
    <w:rsid w:val="5FE04F13"/>
    <w:rsid w:val="604553CF"/>
    <w:rsid w:val="6057116B"/>
    <w:rsid w:val="605C0A83"/>
    <w:rsid w:val="628D1ED7"/>
    <w:rsid w:val="647A6A4E"/>
    <w:rsid w:val="65C21AC4"/>
    <w:rsid w:val="66CA254A"/>
    <w:rsid w:val="6B9761D5"/>
    <w:rsid w:val="6BFD2A7A"/>
    <w:rsid w:val="6E336308"/>
    <w:rsid w:val="6F9F22EE"/>
    <w:rsid w:val="6FC2520D"/>
    <w:rsid w:val="70157EAB"/>
    <w:rsid w:val="70CE06E2"/>
    <w:rsid w:val="71DE0D5E"/>
    <w:rsid w:val="730D46D9"/>
    <w:rsid w:val="783A0883"/>
    <w:rsid w:val="7B06162A"/>
    <w:rsid w:val="7BAA0B28"/>
    <w:rsid w:val="7D3B7F21"/>
    <w:rsid w:val="7D7414B6"/>
    <w:rsid w:val="7D851D10"/>
    <w:rsid w:val="7E38212E"/>
    <w:rsid w:val="7ECB6E5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qFormat/>
    <w:uiPriority w:val="0"/>
    <w:rPr>
      <w:color w:val="0563C1" w:themeColor="hyperlink"/>
      <w:u w:val="single"/>
    </w:rPr>
  </w:style>
  <w:style w:type="character" w:customStyle="1" w:styleId="8">
    <w:name w:val="批注框文本 Char"/>
    <w:basedOn w:val="5"/>
    <w:link w:val="2"/>
    <w:qFormat/>
    <w:uiPriority w:val="0"/>
    <w:rPr>
      <w:rFonts w:ascii="Calibri" w:hAnsi="Calibri" w:eastAsia="宋体" w:cs="Times New Roman"/>
      <w:kern w:val="2"/>
      <w:sz w:val="18"/>
      <w:szCs w:val="18"/>
    </w:rPr>
  </w:style>
  <w:style w:type="paragraph" w:customStyle="1"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customXml" Target="../customXml/item1.xml"/><Relationship Id="rId21" Type="http://schemas.openxmlformats.org/officeDocument/2006/relationships/image" Target="media/image12.emf"/><Relationship Id="rId20" Type="http://schemas.openxmlformats.org/officeDocument/2006/relationships/image" Target="media/image11.emf"/><Relationship Id="rId2" Type="http://schemas.openxmlformats.org/officeDocument/2006/relationships/settings" Target="settings.xml"/><Relationship Id="rId19" Type="http://schemas.openxmlformats.org/officeDocument/2006/relationships/image" Target="media/image10.jpeg"/><Relationship Id="rId18" Type="http://schemas.openxmlformats.org/officeDocument/2006/relationships/image" Target="media/image9.jpeg"/><Relationship Id="rId17" Type="http://schemas.openxmlformats.org/officeDocument/2006/relationships/image" Target="media/image8.jpeg"/><Relationship Id="rId16" Type="http://schemas.openxmlformats.org/officeDocument/2006/relationships/image" Target="media/image7.jpeg"/><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29BF40-8464-4F95-BA11-FBA944AFC6E1}">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516</Words>
  <Characters>2945</Characters>
  <Lines>24</Lines>
  <Paragraphs>6</Paragraphs>
  <ScaleCrop>false</ScaleCrop>
  <LinksUpToDate>false</LinksUpToDate>
  <CharactersWithSpaces>3455</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2020-04-09T02:14:00Z</dcterms:created>
  <dc:creator>dell</dc:creator>
  <cp:lastModifiedBy>dell</cp:lastModifiedBy>
  <cp:lastPrinted>2021-04-15T07:15:00Z</cp:lastPrinted>
  <dcterms:modified xsi:type="dcterms:W3CDTF">2022-02-10T06:36:48Z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