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7F0A" w:rsidRDefault="0067272A">
      <w:pPr>
        <w:spacing w:line="560" w:lineRule="exact"/>
        <w:ind w:rightChars="103" w:right="21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青铜峡市2019年</w:t>
      </w:r>
      <w:r w:rsidR="00671753">
        <w:rPr>
          <w:rFonts w:ascii="方正小标宋_GBK" w:eastAsia="方正小标宋_GBK" w:hAnsi="方正小标宋_GBK" w:cs="方正小标宋_GBK" w:hint="eastAsia"/>
          <w:sz w:val="44"/>
          <w:szCs w:val="44"/>
        </w:rPr>
        <w:t>上半年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财政预算执行分析</w:t>
      </w:r>
    </w:p>
    <w:p w:rsidR="00D87F0A" w:rsidRDefault="0067272A">
      <w:pPr>
        <w:spacing w:line="560" w:lineRule="exact"/>
        <w:ind w:rightChars="103" w:right="21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:rsidR="00D87F0A" w:rsidRDefault="0067272A">
      <w:pPr>
        <w:spacing w:line="560" w:lineRule="exact"/>
        <w:ind w:rightChars="103" w:right="216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  一、一般公共预算收支情况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（一）收入情况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-6月份，辖区内一般公共预算收入累计完成83240万元，同比增收4588万元，增长5.8%。其中：中央级收入30218万元，同比增收1494万元，增长5.2%；自治区级收入16729万元，同比增收1975万元，增长13.4%；市本级收入36293万元，同比增收1119万元，增长3.2%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6月份，当月完成市本级一般公共预算收入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6049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1229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下降16.9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从收入结构看，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税收收入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当月完成3867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536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下降12.2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%；非税收入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当月完成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693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下降24%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月份，累计完成市本级一般公共预算收入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36293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万元，完成年度预算的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时间过半</w:t>
      </w:r>
      <w:r w:rsidR="00671753">
        <w:rPr>
          <w:rFonts w:ascii="方正仿宋_GBK" w:eastAsia="方正仿宋_GBK" w:hAnsi="方正仿宋_GBK" w:cs="方正仿宋_GBK" w:hint="eastAsia"/>
          <w:sz w:val="32"/>
          <w:szCs w:val="32"/>
        </w:rPr>
        <w:t>任务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过半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从收入结构看，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税收收入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25109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万元，完成年度预算的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%，慢于序时进度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个百分点，同比增收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571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2.3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%；非税收入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11184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万元，完成年度预算的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%，快于序时进度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个百分点，同比增收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1-</w:t>
      </w:r>
      <w:r w:rsidR="00D0101B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月份财政收入运行主要特点：</w:t>
      </w:r>
    </w:p>
    <w:p w:rsidR="00D87F0A" w:rsidRDefault="0067272A">
      <w:pPr>
        <w:spacing w:line="560" w:lineRule="exact"/>
        <w:ind w:rightChars="103" w:right="216" w:firstLine="64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1.财政收入稳中有进，增幅呈小幅度</w:t>
      </w:r>
      <w:r w:rsidR="00C351D7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回落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月份，市本级一般公共预算收入完成年度预算的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%，比去年同期增长</w:t>
      </w:r>
      <w:r w:rsidR="00D0101B">
        <w:rPr>
          <w:rFonts w:ascii="方正仿宋_GBK" w:eastAsia="方正仿宋_GBK" w:hAnsi="方正仿宋_GBK" w:cs="方正仿宋_GBK" w:hint="eastAsia"/>
          <w:sz w:val="32"/>
          <w:szCs w:val="32"/>
        </w:rPr>
        <w:t>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 w:rsidR="00C351D7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增幅较5月份回落</w:t>
      </w:r>
      <w:r w:rsidR="008147D6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C351D7">
        <w:rPr>
          <w:rFonts w:ascii="方正仿宋_GBK" w:eastAsia="方正仿宋_GBK" w:hAnsi="方正仿宋_GBK" w:cs="方正仿宋_GBK" w:hint="eastAsia"/>
          <w:sz w:val="32"/>
          <w:szCs w:val="32"/>
        </w:rPr>
        <w:t>个百分点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87F0A" w:rsidRDefault="0067272A">
      <w:pPr>
        <w:spacing w:line="560" w:lineRule="exact"/>
        <w:ind w:rightChars="103" w:right="216" w:firstLine="64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2.税收收入平稳增长，</w:t>
      </w:r>
      <w:r w:rsidR="00DC1340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部分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税种</w:t>
      </w:r>
      <w:r w:rsidR="006F0E1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增幅</w:t>
      </w:r>
      <w:r w:rsidR="00DC1340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走高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县级税收收入完成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25109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万元，同比增长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2.3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%。其中：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增值税</w:t>
      </w:r>
      <w:r w:rsidR="008147D6">
        <w:rPr>
          <w:rFonts w:ascii="方正仿宋_GBK" w:eastAsia="方正仿宋_GBK" w:hAnsi="方正仿宋_GBK" w:cs="方正仿宋_GBK" w:hint="eastAsia"/>
          <w:sz w:val="32"/>
          <w:szCs w:val="32"/>
        </w:rPr>
        <w:t>收入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稳定增长，累计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完成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10782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万元，同比增收</w:t>
      </w:r>
      <w:r w:rsidR="00A12B7A">
        <w:rPr>
          <w:rFonts w:ascii="方正仿宋_GBK" w:eastAsia="方正仿宋_GBK" w:hAnsi="方正仿宋_GBK" w:cs="方正仿宋_GBK" w:hint="eastAsia"/>
          <w:sz w:val="32"/>
          <w:szCs w:val="32"/>
        </w:rPr>
        <w:t>892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万元，增长9%；</w:t>
      </w:r>
      <w:r w:rsidR="00BC7727">
        <w:rPr>
          <w:rFonts w:ascii="方正仿宋_GBK" w:eastAsia="方正仿宋_GBK" w:hAnsi="方正仿宋_GBK" w:cs="方正仿宋_GBK" w:hint="eastAsia"/>
          <w:sz w:val="32"/>
          <w:szCs w:val="32"/>
        </w:rPr>
        <w:t>加大欠税的清缴力度，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督促</w:t>
      </w:r>
      <w:r w:rsidR="00BC7727">
        <w:rPr>
          <w:rFonts w:ascii="方正仿宋_GBK" w:eastAsia="方正仿宋_GBK" w:hAnsi="方正仿宋_GBK" w:cs="方正仿宋_GBK" w:hint="eastAsia"/>
          <w:sz w:val="32"/>
          <w:szCs w:val="32"/>
        </w:rPr>
        <w:t>企业补缴前期欠税</w:t>
      </w:r>
      <w:r w:rsidR="00E76AEC">
        <w:rPr>
          <w:rFonts w:ascii="方正仿宋_GBK" w:eastAsia="方正仿宋_GBK" w:hAnsi="方正仿宋_GBK" w:cs="方正仿宋_GBK" w:hint="eastAsia"/>
          <w:sz w:val="32"/>
          <w:szCs w:val="32"/>
        </w:rPr>
        <w:t>,房产税收入累计完成1713万元，同比增收459万元，增长36.6%；企业购销业务增加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E76AEC">
        <w:rPr>
          <w:rFonts w:ascii="方正仿宋_GBK" w:eastAsia="方正仿宋_GBK" w:hAnsi="方正仿宋_GBK" w:cs="方正仿宋_GBK" w:hint="eastAsia"/>
          <w:sz w:val="32"/>
          <w:szCs w:val="32"/>
        </w:rPr>
        <w:t>促使印花税增收，累计完成1102万元，同比增收376万元，增长51.8%；企业购置不动产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活跃，</w:t>
      </w:r>
      <w:r w:rsidR="00E76AEC">
        <w:rPr>
          <w:rFonts w:ascii="方正仿宋_GBK" w:eastAsia="方正仿宋_GBK" w:hAnsi="方正仿宋_GBK" w:cs="方正仿宋_GBK" w:hint="eastAsia"/>
          <w:sz w:val="32"/>
          <w:szCs w:val="32"/>
        </w:rPr>
        <w:t>促进契税增收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累计完成1194万元，同比增收293万元，增长32.5%；环境保护税顺利开征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拉动税收增长，上半年实现环保税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收入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828万元，同比增收426万元，增长106%</w:t>
      </w:r>
      <w:r w:rsidR="00DC1340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D87F0A" w:rsidRDefault="0067272A">
      <w:pPr>
        <w:spacing w:line="560" w:lineRule="exact"/>
        <w:ind w:rightChars="103" w:right="21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  3.非税收入</w:t>
      </w:r>
      <w:r w:rsidR="00DC1340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增幅回落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，拉动财政增收作用</w:t>
      </w:r>
      <w:r w:rsidR="00C51AA2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减缓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月份，非税收入完成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11184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万元，比上年同期增收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548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6F0E12">
        <w:rPr>
          <w:rFonts w:ascii="方正仿宋_GBK" w:eastAsia="方正仿宋_GBK" w:hAnsi="方正仿宋_GBK" w:cs="方正仿宋_GBK" w:hint="eastAsia"/>
          <w:sz w:val="32"/>
          <w:szCs w:val="32"/>
        </w:rPr>
        <w:t>5.2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 w:rsidR="000075FE">
        <w:rPr>
          <w:rFonts w:ascii="方正仿宋_GBK" w:eastAsia="方正仿宋_GBK" w:hAnsi="方正仿宋_GBK" w:cs="方正仿宋_GBK" w:hint="eastAsia"/>
          <w:sz w:val="32"/>
          <w:szCs w:val="32"/>
        </w:rPr>
        <w:t>，比上月回落了11个百分点，对财政收入的拉动作用减缓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。分科目看，教育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金收入比上年同期增加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334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农田水利建设资金收入比上年增加267万元，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主要是从国有土地使用权出让收入中计提的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两项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收入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比上年增幅较大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；国有资源有偿使用收入比上年同期增加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1295</w:t>
      </w:r>
      <w:r w:rsidR="000075FE">
        <w:rPr>
          <w:rFonts w:ascii="方正仿宋_GBK" w:eastAsia="方正仿宋_GBK" w:hAnsi="方正仿宋_GBK" w:cs="方正仿宋_GBK" w:hint="eastAsia"/>
          <w:sz w:val="32"/>
          <w:szCs w:val="32"/>
        </w:rPr>
        <w:t>万元，主要是资产处置收入和土地租赁收入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；行政事业性收费比上年同期减少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461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万元，主要是政策性减收。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（二）支出情况</w:t>
      </w:r>
    </w:p>
    <w:p w:rsidR="00D87F0A" w:rsidRDefault="00C51AA2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月份，当月完成市本级一般公共预算支出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38431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减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9389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下降19.6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月份，累计完成市本级一般公共预算支出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162175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万元，完成全年支出任务的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56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快于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序时进度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个百分点，同比增支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35527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28.1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主要支出项目情况：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一般公共服务支出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10496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下降5.6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公共安全支出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3255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C51AA2">
        <w:rPr>
          <w:rFonts w:ascii="方正仿宋_GBK" w:eastAsia="方正仿宋_GBK" w:hAnsi="方正仿宋_GBK" w:cs="方正仿宋_GBK" w:hint="eastAsia"/>
          <w:sz w:val="32"/>
          <w:szCs w:val="32"/>
        </w:rPr>
        <w:t>12.6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教育支出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18492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11.6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科学技术支出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63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万元，下降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文化旅游体育与传媒支出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3392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103%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社会保障和就业支出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20666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48.7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卫生健康支出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26480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44.5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节能环保支出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3016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85.5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城乡社区支出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29518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下降3.2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农林水支出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22339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154.1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交通运输支出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4418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144.5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资源勘探信息等支出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2203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52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商业服务业支出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1091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万元，下降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自然资源海洋气象等支出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1445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住房保障支出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6497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下降22.6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粮油物资储备支出11万元，增长37.5%；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灾害防治及应急支出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410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债务付息支出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5788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2.1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%；</w:t>
      </w:r>
    </w:p>
    <w:p w:rsidR="00D87F0A" w:rsidRDefault="0067272A">
      <w:pPr>
        <w:numPr>
          <w:ilvl w:val="0"/>
          <w:numId w:val="1"/>
        </w:num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其他支出2595万元，增长188.3%；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1-</w:t>
      </w:r>
      <w:r w:rsidR="00271DA6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月份财政支出运行主要特点：</w:t>
      </w:r>
    </w:p>
    <w:p w:rsidR="00D87F0A" w:rsidRDefault="0067272A">
      <w:pPr>
        <w:spacing w:line="560" w:lineRule="exact"/>
        <w:ind w:rightChars="103" w:right="21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  1.支出月度均衡性较差，增幅逐月放缓。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按照自治区财政厅下达我市的全年支出任务及序时进度考核要求，平均每月我市需完成一般公共预算支出28600万元。截至目前，仅3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月份、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6月份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当月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分别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完成一般公共预算支出45441万元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和38431万元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，超额完成了月度支出任务，其余各月均未按照序时进度完成支出任务，后期财政支出压力将进一步加大。</w:t>
      </w:r>
      <w:bookmarkStart w:id="0" w:name="_GoBack"/>
      <w:bookmarkEnd w:id="0"/>
    </w:p>
    <w:p w:rsidR="00D87F0A" w:rsidRDefault="005D117B">
      <w:pPr>
        <w:spacing w:line="720" w:lineRule="auto"/>
        <w:ind w:rightChars="102" w:right="214"/>
        <w:rPr>
          <w:rFonts w:ascii="方正仿宋_GBK" w:eastAsia="方正仿宋_GBK" w:hAnsi="方正仿宋_GBK" w:cs="方正仿宋_GBK"/>
          <w:sz w:val="32"/>
          <w:szCs w:val="32"/>
        </w:rPr>
      </w:pPr>
      <w:r w:rsidRPr="005D117B"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0" distR="0">
            <wp:extent cx="5675231" cy="2966484"/>
            <wp:effectExtent l="19050" t="0" r="20719" b="5316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37A08" w:rsidRPr="00A37A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25pt;margin-top:30.55pt;width:91.85pt;height:26.4pt;z-index:251658240;mso-position-horizontal-relative:text;mso-position-vertical-relative:text" o:gfxdata="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S3h1dUAAAAKAQAADwAAAAAAAAABACAAAAAiAAAAZHJz&#10;L2Rvd25yZXYueG1sUEsBAhQAFAAAAAgAh07iQAeeNjRAAgAATwQAAA4AAAAAAAAAAQAgAAAAJAEA&#10;AGRycy9lMm9Eb2MueG1sUEsFBgAAAAAGAAYAWQEAANYFAAAAAA==&#10;" fillcolor="white [3201]" stroked="f" strokeweight=".5pt">
            <v:textbox>
              <w:txbxContent>
                <w:p w:rsidR="00DC1340" w:rsidRDefault="00DC1340">
                  <w:pPr>
                    <w:spacing w:line="240" w:lineRule="atLeast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单位：万元；</w:t>
                  </w:r>
                  <w:r>
                    <w:rPr>
                      <w:rFonts w:hint="eastAsia"/>
                      <w:sz w:val="20"/>
                      <w:szCs w:val="22"/>
                    </w:rPr>
                    <w:t>%</w:t>
                  </w:r>
                </w:p>
              </w:txbxContent>
            </v:textbox>
          </v:shape>
        </w:pict>
      </w:r>
    </w:p>
    <w:p w:rsidR="00D87F0A" w:rsidRDefault="0067272A">
      <w:pPr>
        <w:spacing w:line="560" w:lineRule="exact"/>
        <w:ind w:rightChars="103" w:right="216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  2.全力保障工资及民生重点领域支出。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月份，财政部门积极作为，全力保障了工资的发放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用于教育、卫生健康、社会保障和就业、住房保障等民生10项支出</w:t>
      </w:r>
      <w:r w:rsidR="00232303">
        <w:rPr>
          <w:rFonts w:ascii="方正仿宋_GBK" w:eastAsia="方正仿宋_GBK" w:hAnsi="方正仿宋_GBK" w:cs="方正仿宋_GBK" w:hint="eastAsia"/>
          <w:sz w:val="32"/>
          <w:szCs w:val="32"/>
        </w:rPr>
        <w:t>33131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万元，占当月一般公共预算支出的86</w:t>
      </w:r>
      <w:r w:rsidR="00232303">
        <w:rPr>
          <w:rFonts w:ascii="方正仿宋_GBK" w:eastAsia="方正仿宋_GBK" w:hAnsi="方正仿宋_GBK" w:cs="方正仿宋_GBK" w:hint="eastAsia"/>
          <w:sz w:val="32"/>
          <w:szCs w:val="32"/>
        </w:rPr>
        <w:t>.2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numPr>
          <w:ilvl w:val="0"/>
          <w:numId w:val="2"/>
        </w:num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服务业八项支出情况</w:t>
      </w:r>
    </w:p>
    <w:p w:rsidR="00D87F0A" w:rsidRDefault="00271DA6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月份，当月完成服务业八项支出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21888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万元，占当月一般公共预算支出的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57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%，同比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减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支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15804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下降42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月份，累计完成服务业八项支出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111986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万元，占一般公共预算支出的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69.1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%，同比增支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16263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271DA6"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二、政府性基金预算收支情况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（一）收入情况</w:t>
      </w:r>
    </w:p>
    <w:p w:rsidR="00D87F0A" w:rsidRDefault="00C90F3B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月份，当月完成政府性基金收入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2712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万元，同比增收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2987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</w:t>
      </w:r>
      <w:r w:rsidR="003133E3">
        <w:rPr>
          <w:rFonts w:ascii="方正仿宋_GBK" w:eastAsia="方正仿宋_GBK" w:hAnsi="方正仿宋_GBK" w:cs="方正仿宋_GBK" w:hint="eastAsia"/>
          <w:sz w:val="32"/>
          <w:szCs w:val="32"/>
        </w:rPr>
        <w:t>（2018年6月政府性基金收入退库当月数为-275万元）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，主要是入库政府挂牌出让国有土地价款收入。</w:t>
      </w:r>
    </w:p>
    <w:p w:rsidR="00D87F0A" w:rsidRDefault="0067272A">
      <w:pPr>
        <w:spacing w:line="560" w:lineRule="exact"/>
        <w:ind w:rightChars="103" w:right="216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月份，累计完成政府性基金收入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8250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万元，完成年度预算的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%，快于序时进度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个百分点，同比增收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7830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D87F0A" w:rsidRDefault="0067272A">
      <w:pPr>
        <w:numPr>
          <w:ilvl w:val="0"/>
          <w:numId w:val="3"/>
        </w:num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支出情况</w:t>
      </w:r>
    </w:p>
    <w:p w:rsidR="00D87F0A" w:rsidRDefault="00C90F3B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月份，当月完成政府性基金支出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2044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万元，同比增支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1070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109.9</w:t>
      </w:r>
      <w:r w:rsidR="0067272A"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1-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月份，累计完成政府性基金支出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10496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万元，同比增支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4691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万元，增长</w:t>
      </w:r>
      <w:r w:rsidR="00C90F3B">
        <w:rPr>
          <w:rFonts w:ascii="方正仿宋_GBK" w:eastAsia="方正仿宋_GBK" w:hAnsi="方正仿宋_GBK" w:cs="方正仿宋_GBK" w:hint="eastAsia"/>
          <w:sz w:val="32"/>
          <w:szCs w:val="32"/>
        </w:rPr>
        <w:t>80.8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</w:p>
    <w:p w:rsidR="00D87F0A" w:rsidRDefault="0067272A">
      <w:pPr>
        <w:numPr>
          <w:ilvl w:val="0"/>
          <w:numId w:val="4"/>
        </w:numPr>
        <w:spacing w:line="560" w:lineRule="exact"/>
        <w:ind w:rightChars="103" w:right="216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下一步工作</w:t>
      </w:r>
      <w:r w:rsidR="00C90F3B">
        <w:rPr>
          <w:rFonts w:ascii="方正黑体_GBK" w:eastAsia="方正黑体_GBK" w:hAnsi="方正黑体_GBK" w:cs="方正黑体_GBK" w:hint="eastAsia"/>
          <w:sz w:val="32"/>
          <w:szCs w:val="32"/>
        </w:rPr>
        <w:t>措施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受减税降费政策影响，财政部门面临的增收压力进一步加大，财政收支矛盾</w:t>
      </w:r>
      <w:r w:rsidR="00205A5C">
        <w:rPr>
          <w:rFonts w:ascii="方正仿宋_GBK" w:eastAsia="方正仿宋_GBK" w:hAnsi="方正仿宋_GBK" w:cs="方正仿宋_GBK" w:hint="eastAsia"/>
          <w:sz w:val="32"/>
          <w:szCs w:val="32"/>
        </w:rPr>
        <w:t>将会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更加突出。下一步，</w:t>
      </w:r>
      <w:r w:rsidR="00151C42">
        <w:rPr>
          <w:rFonts w:ascii="方正仿宋_GBK" w:eastAsia="方正仿宋_GBK" w:hAnsi="方正仿宋_GBK" w:cs="方正仿宋_GBK" w:hint="eastAsia"/>
          <w:sz w:val="32"/>
          <w:szCs w:val="32"/>
        </w:rPr>
        <w:t>我们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</w:t>
      </w:r>
      <w:r w:rsidR="00151C42">
        <w:rPr>
          <w:rFonts w:ascii="方正仿宋_GBK" w:eastAsia="方正仿宋_GBK" w:hAnsi="方正仿宋_GBK" w:cs="方正仿宋_GBK" w:hint="eastAsia"/>
          <w:sz w:val="32"/>
          <w:szCs w:val="32"/>
        </w:rPr>
        <w:t>提前谋划、积极作为，采取切实有效的措施，努力挖潜增收，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加快财政支出进度，保障财政收支</w:t>
      </w:r>
      <w:r w:rsidR="00151C42">
        <w:rPr>
          <w:rFonts w:ascii="方正仿宋_GBK" w:eastAsia="方正仿宋_GBK" w:hAnsi="方正仿宋_GBK" w:cs="方正仿宋_GBK" w:hint="eastAsia"/>
          <w:sz w:val="32"/>
          <w:szCs w:val="32"/>
        </w:rPr>
        <w:t>平稳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运行。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（一）积极研判收入形势，抓紧研究对策措施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加强组织收入的主动性，密切关注经济形势变化，强化减税降费规模预测，准确掌握税源变化，提高组织收入的预见性。税务部门要加强税收征管，严格组织收入措施，夯实征管基础。同时规范非税收入管理，统筹协调好财政收入增长与逐步降低非税收入占比的关系，逐步提高财政收入质量。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（二）全力推进支出进度，提高财政保障水平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及时掌握预算执行动态，督促项目主管部门提早做好项目前期准备工作，推动重点单位和重点项目加快预算执行，增强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财政资金支出管理工作的前瞻性和主动性，避免出现往年下半年才发力的被动局面。同时，进一步强化预算约束力，无预算来源的资金禁止追加预算，严格控制暂付款规模。</w:t>
      </w:r>
    </w:p>
    <w:p w:rsidR="00D87F0A" w:rsidRDefault="0067272A">
      <w:pPr>
        <w:spacing w:line="560" w:lineRule="exact"/>
        <w:ind w:rightChars="103" w:right="216" w:firstLine="640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（三）积极盘活财政存量资金，加大统筹使用力度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摸清财政存量资金底数，采取分类处置办法，对部门结转资金两年及以上仍未使用完毕的，收回财政重新纳入预算，统筹安排使用。对于项目不能按时开工、年底可能再次形成结余或结转的项目，调整用于其他急需支出的项目，从而减轻当年支出压力，避免结转结余资金的二次沉淀。</w:t>
      </w:r>
    </w:p>
    <w:p w:rsidR="00D87F0A" w:rsidRDefault="0067272A">
      <w:pPr>
        <w:spacing w:line="560" w:lineRule="exact"/>
        <w:ind w:rightChars="103" w:right="216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br w:type="page"/>
      </w:r>
    </w:p>
    <w:p w:rsidR="00D87F0A" w:rsidRDefault="005D117B" w:rsidP="0067272A">
      <w:pPr>
        <w:spacing w:line="720" w:lineRule="auto"/>
        <w:ind w:leftChars="-295" w:left="-619" w:rightChars="-349" w:right="-733"/>
        <w:jc w:val="left"/>
      </w:pPr>
      <w:r w:rsidRPr="005D117B">
        <w:rPr>
          <w:noProof/>
        </w:rPr>
        <w:lastRenderedPageBreak/>
        <w:drawing>
          <wp:inline distT="0" distB="0" distL="0" distR="0">
            <wp:extent cx="5986131" cy="3572540"/>
            <wp:effectExtent l="0" t="0" r="0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37A08">
        <w:pict>
          <v:shape id="_x0000_s1034" type="#_x0000_t202" style="position:absolute;left:0;text-align:left;margin-left:316.75pt;margin-top:30.15pt;width:88.8pt;height:22.2pt;z-index:251659264;mso-position-horizontal-relative:text;mso-position-vertical-relative:text" o:gfxdata="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SjO01QAAAAoBAAAPAAAAAAAAAAEAIAAAACIAAABkcnMv&#10;ZG93bnJldi54bWxQSwECFAAUAAAACACHTuJAu3KQYD8CAABPBAAADgAAAAAAAAABACAAAAAkAQAA&#10;ZHJzL2Uyb0RvYy54bWxQSwUGAAAAAAYABgBZAQAA1QUAAAAA&#10;" fillcolor="white [3201]" stroked="f" strokeweight=".5pt">
            <v:textbox>
              <w:txbxContent>
                <w:p w:rsidR="00DC1340" w:rsidRDefault="00DC1340">
                  <w:r>
                    <w:rPr>
                      <w:rFonts w:hint="eastAsia"/>
                    </w:rPr>
                    <w:t>单位：万元</w:t>
                  </w:r>
                </w:p>
              </w:txbxContent>
            </v:textbox>
          </v:shape>
        </w:pict>
      </w:r>
    </w:p>
    <w:p w:rsidR="00D87F0A" w:rsidRDefault="00D87F0A" w:rsidP="0067272A">
      <w:pPr>
        <w:spacing w:line="720" w:lineRule="auto"/>
        <w:ind w:rightChars="-349" w:right="-733"/>
        <w:jc w:val="left"/>
      </w:pPr>
    </w:p>
    <w:p w:rsidR="00C02230" w:rsidRDefault="00C02230" w:rsidP="0067272A">
      <w:pPr>
        <w:spacing w:line="720" w:lineRule="auto"/>
        <w:ind w:rightChars="-349" w:right="-733"/>
        <w:jc w:val="left"/>
      </w:pPr>
      <w:r w:rsidRPr="00C02230">
        <w:rPr>
          <w:noProof/>
        </w:rPr>
        <w:drawing>
          <wp:inline distT="0" distB="0" distL="0" distR="0">
            <wp:extent cx="5486400" cy="3540642"/>
            <wp:effectExtent l="0" t="0" r="0" b="0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7F0A" w:rsidRDefault="00A37A08" w:rsidP="0067272A">
      <w:pPr>
        <w:spacing w:line="720" w:lineRule="auto"/>
        <w:ind w:leftChars="-295" w:left="-619" w:rightChars="-349" w:right="-733"/>
        <w:jc w:val="left"/>
      </w:pPr>
      <w:r>
        <w:pict>
          <v:shape id="_x0000_s1033" type="#_x0000_t202" style="position:absolute;left:0;text-align:left;margin-left:318.55pt;margin-top:32.85pt;width:86.4pt;height:24pt;z-index:251660288" o:gfxdata="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NEkq1gAAAAoBAAAPAAAAAAAAAAEAIAAAACIAAABk&#10;cnMvZG93bnJldi54bWxQSwECFAAUAAAACACHTuJAtsZOkUECAABPBAAADgAAAAAAAAABACAAAAAl&#10;AQAAZHJzL2Uyb0RvYy54bWxQSwUGAAAAAAYABgBZAQAA2AUAAAAA&#10;" fillcolor="white [3201]" stroked="f" strokeweight=".5pt">
            <v:textbox>
              <w:txbxContent>
                <w:p w:rsidR="00DC1340" w:rsidRDefault="00DC1340">
                  <w:r>
                    <w:rPr>
                      <w:rFonts w:hint="eastAsia"/>
                    </w:rPr>
                    <w:t>增长率：</w:t>
                  </w:r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324.55pt;margin-top:28.45pt;width:79.8pt;height:24pt;z-index:251661312" o:gfxdata="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Tt0L1gAAAAoBAAAPAAAAAAAAAAEAIAAAACIAAABkcnMv&#10;ZG93bnJldi54bWxQSwECFAAUAAAACACHTuJAddDUpj4CAABPBAAADgAAAAAAAAABACAAAAAlAQAA&#10;ZHJzL2Uyb0RvYy54bWxQSwUGAAAAAAYABgBZAQAA1QUAAAAA&#10;" fillcolor="white [3201]" stroked="f" strokeweight=".5pt">
            <v:textbox>
              <w:txbxContent>
                <w:p w:rsidR="00DC1340" w:rsidRPr="002F5BE6" w:rsidRDefault="00DC1340" w:rsidP="002F5BE6"/>
              </w:txbxContent>
            </v:textbox>
          </v:shape>
        </w:pict>
      </w:r>
    </w:p>
    <w:p w:rsidR="00C02230" w:rsidRDefault="00C02230" w:rsidP="0067272A">
      <w:pPr>
        <w:spacing w:line="720" w:lineRule="auto"/>
        <w:ind w:leftChars="-295" w:left="-619" w:rightChars="-349" w:right="-733"/>
        <w:jc w:val="left"/>
      </w:pPr>
      <w:r w:rsidRPr="00C02230">
        <w:rPr>
          <w:noProof/>
        </w:rPr>
        <w:lastRenderedPageBreak/>
        <w:drawing>
          <wp:inline distT="0" distB="0" distL="0" distR="0">
            <wp:extent cx="5986131" cy="3615069"/>
            <wp:effectExtent l="0" t="0" r="0" b="0"/>
            <wp:docPr id="10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2230" w:rsidRDefault="00C02230" w:rsidP="0067272A">
      <w:pPr>
        <w:spacing w:line="720" w:lineRule="auto"/>
        <w:ind w:leftChars="-295" w:left="-619" w:rightChars="-349" w:right="-733"/>
        <w:jc w:val="left"/>
      </w:pPr>
    </w:p>
    <w:p w:rsidR="00C02230" w:rsidRDefault="00C02230" w:rsidP="0067272A">
      <w:pPr>
        <w:spacing w:line="720" w:lineRule="auto"/>
        <w:ind w:leftChars="-295" w:left="-619" w:rightChars="-349" w:right="-733"/>
        <w:jc w:val="left"/>
      </w:pPr>
      <w:r w:rsidRPr="00C02230">
        <w:rPr>
          <w:noProof/>
        </w:rPr>
        <w:drawing>
          <wp:inline distT="0" distB="0" distL="0" distR="0">
            <wp:extent cx="6092456" cy="3668233"/>
            <wp:effectExtent l="0" t="0" r="0" b="0"/>
            <wp:docPr id="1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2230" w:rsidRDefault="00A37A08" w:rsidP="0067272A">
      <w:pPr>
        <w:spacing w:line="720" w:lineRule="auto"/>
        <w:ind w:leftChars="-295" w:left="-619" w:rightChars="-349" w:right="-733"/>
        <w:jc w:val="left"/>
      </w:pPr>
      <w:r>
        <w:lastRenderedPageBreak/>
        <w:pict>
          <v:shape id="_x0000_s1030" type="#_x0000_t202" style="position:absolute;left:0;text-align:left;margin-left:344.35pt;margin-top:37.2pt;width:81.6pt;height:22.2pt;z-index:251663360" o:gfxdata="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ctYHt1QAAAAoBAAAPAAAAAAAAAAEAIAAAACIAAABkcnMv&#10;ZG93bnJldi54bWxQSwECFAAUAAAACACHTuJAFZziQj8CAABPBAAADgAAAAAAAAABACAAAAAkAQAA&#10;ZHJzL2Uyb0RvYy54bWxQSwUGAAAAAAYABgBZAQAA1QUAAAAA&#10;" fillcolor="white [3201]" stroked="f" strokeweight=".5pt">
            <v:textbox>
              <w:txbxContent>
                <w:p w:rsidR="00DC1340" w:rsidRDefault="00DC1340">
                  <w:r>
                    <w:rPr>
                      <w:rFonts w:hint="eastAsia"/>
                    </w:rPr>
                    <w:t>单位：万元</w:t>
                  </w:r>
                </w:p>
              </w:txbxContent>
            </v:textbox>
          </v:shape>
        </w:pict>
      </w:r>
      <w:r w:rsidR="00C02230" w:rsidRPr="00C02230">
        <w:rPr>
          <w:noProof/>
        </w:rPr>
        <w:drawing>
          <wp:inline distT="0" distB="0" distL="0" distR="0">
            <wp:extent cx="5986131" cy="3519377"/>
            <wp:effectExtent l="0" t="0" r="0" b="0"/>
            <wp:docPr id="1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5BE6" w:rsidRDefault="002F5BE6" w:rsidP="0067272A">
      <w:pPr>
        <w:spacing w:line="720" w:lineRule="auto"/>
        <w:ind w:leftChars="-295" w:left="-619" w:rightChars="-349" w:right="-733"/>
        <w:jc w:val="left"/>
      </w:pPr>
    </w:p>
    <w:p w:rsidR="00D87F0A" w:rsidRDefault="00A37A08" w:rsidP="0067272A">
      <w:pPr>
        <w:spacing w:line="720" w:lineRule="auto"/>
        <w:ind w:leftChars="-295" w:left="-619" w:rightChars="-349" w:right="-733"/>
        <w:jc w:val="left"/>
      </w:pPr>
      <w:r>
        <w:pict>
          <v:shape id="_x0000_s1031" type="#_x0000_t202" style="position:absolute;left:0;text-align:left;margin-left:316.75pt;margin-top:29.85pt;width:80.4pt;height:21pt;z-index:251662336" o:gfxdata="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VGRI1gAAAAoBAAAPAAAAAAAAAAEAIAAAACIAAABk&#10;cnMvZG93bnJldi54bWxQSwECFAAUAAAACACHTuJAp+g5BUECAABPBAAADgAAAAAAAAABACAAAAAl&#10;AQAAZHJzL2Uyb0RvYy54bWxQSwUGAAAAAAYABgBZAQAA2AUAAAAA&#10;" fillcolor="white [3201]" stroked="f" strokeweight=".5pt">
            <v:textbox>
              <w:txbxContent>
                <w:p w:rsidR="00694921" w:rsidRPr="00694921" w:rsidRDefault="00694921" w:rsidP="00694921">
                  <w:r w:rsidRPr="00694921">
                    <w:rPr>
                      <w:rFonts w:hint="eastAsia"/>
                    </w:rPr>
                    <w:t>增长率：</w:t>
                  </w:r>
                  <w:r w:rsidRPr="00694921">
                    <w:t>%</w:t>
                  </w:r>
                </w:p>
                <w:p w:rsidR="00DC1340" w:rsidRPr="00C02230" w:rsidRDefault="00DC1340" w:rsidP="00C02230"/>
              </w:txbxContent>
            </v:textbox>
          </v:shape>
        </w:pict>
      </w:r>
      <w:r w:rsidR="00C02230" w:rsidRPr="00C02230">
        <w:rPr>
          <w:noProof/>
        </w:rPr>
        <w:drawing>
          <wp:inline distT="0" distB="0" distL="0" distR="0">
            <wp:extent cx="5869172" cy="3944679"/>
            <wp:effectExtent l="0" t="0" r="0" b="0"/>
            <wp:docPr id="1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7F0A" w:rsidRDefault="00A37A08" w:rsidP="0067272A">
      <w:pPr>
        <w:spacing w:line="720" w:lineRule="auto"/>
        <w:ind w:leftChars="-295" w:left="-619" w:rightChars="-349" w:right="-733"/>
        <w:jc w:val="left"/>
      </w:pPr>
      <w:r>
        <w:lastRenderedPageBreak/>
        <w:pict>
          <v:shape id="_x0000_s1029" type="#_x0000_t202" style="position:absolute;left:0;text-align:left;margin-left:336.55pt;margin-top:32.85pt;width:82.8pt;height:25.5pt;z-index:251664384" o:gfxdata="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vbR01AAAAAoBAAAPAAAAAAAAAAEAIAAAACIAAABkcnMv&#10;ZG93bnJldi54bWxQSwECFAAUAAAACACHTuJAtXHy40ACAABPBAAADgAAAAAAAAABACAAAAAjAQAA&#10;ZHJzL2Uyb0RvYy54bWxQSwUGAAAAAAYABgBZAQAA1QUAAAAA&#10;" fillcolor="white [3201]" stroked="f" strokeweight=".5pt">
            <v:textbox>
              <w:txbxContent>
                <w:p w:rsidR="00DC1340" w:rsidRDefault="00DC1340">
                  <w:r>
                    <w:rPr>
                      <w:rFonts w:hint="eastAsia"/>
                    </w:rPr>
                    <w:t>增长率：</w:t>
                  </w:r>
                  <w:r>
                    <w:rPr>
                      <w:rFonts w:hint="eastAsia"/>
                    </w:rPr>
                    <w:t>%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338.35pt;margin-top:26.65pt;width:86.4pt;height:24pt;z-index:251665408" o:gfxdata="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tbHDTWAAAACgEAAA8AAAAAAAAAAQAgAAAAIgAAAGRy&#10;cy9kb3ducmV2LnhtbFBLAQIUABQAAAAIAIdO4kCAD/ZvQAIAAE8EAAAOAAAAAAAAAAEAIAAAACUB&#10;AABkcnMvZTJvRG9jLnhtbFBLBQYAAAAABgAGAFkBAADXBQAAAAA=&#10;" fillcolor="white [3201]" stroked="f" strokeweight=".5pt">
            <v:textbox>
              <w:txbxContent>
                <w:p w:rsidR="00DC1340" w:rsidRPr="00C02230" w:rsidRDefault="00DC1340" w:rsidP="00C02230">
                  <w:r>
                    <w:rPr>
                      <w:rFonts w:hint="eastAsia"/>
                    </w:rPr>
                    <w:t>单位：万元</w:t>
                  </w:r>
                </w:p>
              </w:txbxContent>
            </v:textbox>
          </v:shape>
        </w:pict>
      </w:r>
      <w:r w:rsidR="00C02230" w:rsidRPr="00C02230">
        <w:rPr>
          <w:noProof/>
        </w:rPr>
        <w:drawing>
          <wp:inline distT="0" distB="0" distL="0" distR="0">
            <wp:extent cx="6113721" cy="3753293"/>
            <wp:effectExtent l="0" t="0" r="0" b="0"/>
            <wp:docPr id="14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2230" w:rsidRDefault="00C02230" w:rsidP="0067272A">
      <w:pPr>
        <w:spacing w:line="720" w:lineRule="auto"/>
        <w:ind w:leftChars="-295" w:left="-619" w:rightChars="-349" w:right="-733"/>
        <w:jc w:val="left"/>
      </w:pPr>
    </w:p>
    <w:p w:rsidR="00C02230" w:rsidRDefault="00C02230" w:rsidP="0067272A">
      <w:pPr>
        <w:spacing w:line="720" w:lineRule="auto"/>
        <w:ind w:leftChars="-295" w:left="-619" w:rightChars="-349" w:right="-733"/>
        <w:jc w:val="left"/>
      </w:pPr>
      <w:r w:rsidRPr="00C02230">
        <w:rPr>
          <w:noProof/>
        </w:rPr>
        <w:drawing>
          <wp:inline distT="0" distB="0" distL="0" distR="0">
            <wp:extent cx="5964865" cy="3765830"/>
            <wp:effectExtent l="0" t="0" r="0" b="0"/>
            <wp:docPr id="15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7F0A" w:rsidRDefault="00A37A08" w:rsidP="0067272A">
      <w:pPr>
        <w:spacing w:line="720" w:lineRule="auto"/>
        <w:ind w:leftChars="-295" w:left="-619" w:rightChars="-349" w:right="-733"/>
        <w:jc w:val="left"/>
      </w:pPr>
      <w:r>
        <w:pict>
          <v:shape id="_x0000_s1027" type="#_x0000_t202" style="position:absolute;left:0;text-align:left;margin-left:337.75pt;margin-top:28.65pt;width:82.8pt;height:27.6pt;z-index:251666432" o:gfxdata="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qA921gAAAAoBAAAPAAAAAAAAAAEAIAAAACIAAABk&#10;cnMvZG93bnJldi54bWxQSwECFAAUAAAACACHTuJAPdMK9kECAABPBAAADgAAAAAAAAABACAAAAAl&#10;AQAAZHJzL2Uyb0RvYy54bWxQSwUGAAAAAAYABgBZAQAA2AUAAAAA&#10;" fillcolor="white [3201]" stroked="f" strokeweight=".5pt">
            <v:textbox>
              <w:txbxContent>
                <w:p w:rsidR="00DC1340" w:rsidRDefault="00DC1340"/>
              </w:txbxContent>
            </v:textbox>
          </v:shape>
        </w:pict>
      </w:r>
    </w:p>
    <w:p w:rsidR="00D87F0A" w:rsidRDefault="00C02230" w:rsidP="0067272A">
      <w:pPr>
        <w:spacing w:line="720" w:lineRule="auto"/>
        <w:ind w:leftChars="-295" w:left="-619" w:rightChars="-349" w:right="-733"/>
        <w:jc w:val="left"/>
        <w:rPr>
          <w:noProof/>
        </w:rPr>
      </w:pPr>
      <w:r w:rsidRPr="00C02230">
        <w:rPr>
          <w:noProof/>
        </w:rPr>
        <w:lastRenderedPageBreak/>
        <w:drawing>
          <wp:inline distT="0" distB="0" distL="0" distR="0">
            <wp:extent cx="5869172" cy="3859618"/>
            <wp:effectExtent l="0" t="0" r="0" b="0"/>
            <wp:docPr id="16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D45CC" w:rsidRDefault="004D45CC" w:rsidP="0067272A">
      <w:pPr>
        <w:spacing w:line="720" w:lineRule="auto"/>
        <w:ind w:leftChars="-295" w:left="-619" w:rightChars="-349" w:right="-733"/>
        <w:jc w:val="left"/>
        <w:rPr>
          <w:noProof/>
        </w:rPr>
      </w:pPr>
    </w:p>
    <w:p w:rsidR="004D45CC" w:rsidRDefault="004D45CC" w:rsidP="0067272A">
      <w:pPr>
        <w:spacing w:line="720" w:lineRule="auto"/>
        <w:ind w:leftChars="-295" w:left="-619" w:rightChars="-349" w:right="-733"/>
        <w:jc w:val="left"/>
      </w:pPr>
      <w:r w:rsidRPr="004D45CC">
        <w:rPr>
          <w:noProof/>
        </w:rPr>
        <w:drawing>
          <wp:inline distT="0" distB="0" distL="0" distR="0">
            <wp:extent cx="5720317" cy="3923414"/>
            <wp:effectExtent l="0" t="0" r="0" b="0"/>
            <wp:docPr id="18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7F0A" w:rsidRDefault="00D87F0A" w:rsidP="0067272A">
      <w:pPr>
        <w:spacing w:line="720" w:lineRule="auto"/>
        <w:ind w:leftChars="-295" w:left="-619" w:rightChars="-349" w:right="-733"/>
        <w:jc w:val="left"/>
        <w:sectPr w:rsidR="00D87F0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701" w:right="1587" w:bottom="1587" w:left="1587" w:header="851" w:footer="992" w:gutter="0"/>
          <w:pgNumType w:fmt="numberInDash"/>
          <w:cols w:space="0"/>
          <w:docGrid w:type="lines" w:linePitch="330"/>
        </w:sectPr>
      </w:pPr>
    </w:p>
    <w:tbl>
      <w:tblPr>
        <w:tblW w:w="16697" w:type="dxa"/>
        <w:tblInd w:w="91" w:type="dxa"/>
        <w:tblLook w:val="04A0"/>
      </w:tblPr>
      <w:tblGrid>
        <w:gridCol w:w="16480"/>
        <w:gridCol w:w="217"/>
      </w:tblGrid>
      <w:tr w:rsidR="004D45CC" w:rsidTr="00590899">
        <w:trPr>
          <w:gridAfter w:val="1"/>
          <w:wAfter w:w="217" w:type="dxa"/>
          <w:trHeight w:val="87"/>
        </w:trPr>
        <w:tc>
          <w:tcPr>
            <w:tcW w:w="1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2816"/>
              <w:gridCol w:w="1316"/>
              <w:gridCol w:w="1316"/>
              <w:gridCol w:w="1316"/>
              <w:gridCol w:w="1316"/>
              <w:gridCol w:w="1316"/>
              <w:gridCol w:w="1316"/>
              <w:gridCol w:w="1622"/>
              <w:gridCol w:w="1622"/>
              <w:gridCol w:w="1316"/>
            </w:tblGrid>
            <w:tr w:rsidR="004D45CC" w:rsidRPr="004D45CC" w:rsidTr="00590899">
              <w:trPr>
                <w:trHeight w:val="439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  <w:r w:rsidRPr="004D45CC">
                    <w:rPr>
                      <w:rFonts w:ascii="方正小标宋_GBK" w:eastAsia="方正小标宋_GBK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全市财政收入完成情况表</w:t>
                  </w:r>
                </w:p>
              </w:tc>
            </w:tr>
            <w:tr w:rsidR="004D45CC" w:rsidRPr="004D45CC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2019年6月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单位:万元</w:t>
                  </w:r>
                </w:p>
              </w:tc>
            </w:tr>
            <w:tr w:rsidR="004D45CC" w:rsidRPr="004D45CC" w:rsidTr="00590899">
              <w:trPr>
                <w:trHeight w:val="499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   目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预算数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本月发生数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1-本月累计数</w:t>
                  </w:r>
                </w:p>
              </w:tc>
            </w:tr>
            <w:tr w:rsidR="004D45CC" w:rsidRPr="004D45CC" w:rsidTr="00590899">
              <w:trPr>
                <w:trHeight w:val="4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当月数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去年同月数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增减%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为预算%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去年同期累计数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比上年同期增减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增减%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一般公共预算收入合计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72,300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6,049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7,278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-16.9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36,293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 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35,174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1,119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3.2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税收收入小计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52,300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3,867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4,403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-12.2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25,109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 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24,538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571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2.3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增值税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24,300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1,908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1,748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10,782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9,890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营业税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-100.0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企业所得税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-15.9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2,752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2,794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-42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-1.5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个人所得税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1,900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79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-54.4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1,144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-268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-23.4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城市维护建设税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20.4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1,981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1,805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9.8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房产税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175.0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1,713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1,254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36.6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印花税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62.8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1,102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726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51.8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城镇土地使用税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4,800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18.2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2,299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2,570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-271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-10.5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土地增值税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28.6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222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-12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-5.4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车船税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107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10.3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2.9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耕地占用税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1,673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-60.1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2,149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-1,478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-68.8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契税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201.9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1,194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32.5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环境保护税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55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402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426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106.0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非税收入小计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20,000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2,182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2,875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-24.1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11,184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 56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10,636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548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5.2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专项收入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3,700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148.6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1,797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1,057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70.0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教育费附加收入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22.7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1,097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9.3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残疾人就业保障金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300.0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10.7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 xml:space="preserve">       教育资金收入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74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农田水利建设资金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-17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594.1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272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5,340.0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其他专项收入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-100.0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43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215.0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行政事业性收费收入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59.4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1,354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39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-461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-25.4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罚没收入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409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243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68.3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1,478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74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739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739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100.0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国有资源有偿使用收入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9,500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797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1,371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-41.9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5,502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4,207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1,295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30.8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捐赠收入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-11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-100.0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政府住房基金收入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583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897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-314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-35.0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其它收入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-85.2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470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1,910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-1,440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-75.4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政府性基金预算收入合计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10,100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2,712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-275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1,086.2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8,250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 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 420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7,830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1,864.3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国有土地使用权出让金收入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9,000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-537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578.0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7,908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88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7,750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4,905.1 </w:t>
                  </w:r>
                </w:p>
              </w:tc>
            </w:tr>
            <w:tr w:rsidR="004D45CC" w:rsidRPr="004D45CC" w:rsidTr="00590899">
              <w:trPr>
                <w:trHeight w:val="31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污水处理费收入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1,100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-44.7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45CC" w:rsidRPr="004D45CC" w:rsidRDefault="004D45CC" w:rsidP="004D45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4D45CC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30.5 </w:t>
                  </w:r>
                </w:p>
              </w:tc>
            </w:tr>
          </w:tbl>
          <w:p w:rsidR="004D45CC" w:rsidRDefault="004D45CC">
            <w:pPr>
              <w:jc w:val="center"/>
              <w:rPr>
                <w:rFonts w:ascii="方正小标宋_GBK" w:eastAsia="方正小标宋_GBK" w:hAnsi="宋体" w:cs="宋体"/>
                <w:sz w:val="28"/>
                <w:szCs w:val="28"/>
              </w:rPr>
            </w:pPr>
          </w:p>
        </w:tc>
      </w:tr>
      <w:tr w:rsidR="00590899" w:rsidRPr="004D45CC" w:rsidTr="00590899">
        <w:trPr>
          <w:trHeight w:val="87"/>
        </w:trPr>
        <w:tc>
          <w:tcPr>
            <w:tcW w:w="16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899" w:rsidRDefault="00590899" w:rsidP="00DC13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616"/>
              <w:gridCol w:w="1316"/>
              <w:gridCol w:w="1316"/>
              <w:gridCol w:w="1316"/>
              <w:gridCol w:w="1316"/>
              <w:gridCol w:w="1316"/>
              <w:gridCol w:w="1422"/>
              <w:gridCol w:w="1622"/>
              <w:gridCol w:w="1622"/>
              <w:gridCol w:w="1316"/>
            </w:tblGrid>
            <w:tr w:rsidR="00590899" w:rsidRPr="00590899" w:rsidTr="00590899">
              <w:trPr>
                <w:trHeight w:val="439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</w:p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kern w:val="0"/>
                      <w:sz w:val="28"/>
                      <w:szCs w:val="28"/>
                    </w:rPr>
                  </w:pPr>
                  <w:r w:rsidRPr="00590899">
                    <w:rPr>
                      <w:rFonts w:ascii="方正小标宋_GBK" w:eastAsia="方正小标宋_GBK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全市财政支出执行情况表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2019年6月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单位:万元</w:t>
                  </w:r>
                </w:p>
              </w:tc>
            </w:tr>
            <w:tr w:rsidR="00590899" w:rsidRPr="00590899" w:rsidTr="00590899">
              <w:trPr>
                <w:trHeight w:val="499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项   目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变动预算数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本月发生数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1-本月累计数</w:t>
                  </w:r>
                </w:p>
              </w:tc>
            </w:tr>
            <w:tr w:rsidR="00590899" w:rsidRPr="00590899" w:rsidTr="00590899">
              <w:trPr>
                <w:trHeight w:val="4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当月数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去年同月数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增减%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为变动预算%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去年同期累计数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比上年同期增减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增减%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一般公共预算支出合计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289,780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38,431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47,820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-19.6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162,175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56.0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126,648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35,527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28.1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一般公共服务支出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19,329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3,273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-66.9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10,496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54.3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11,117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-621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-5.6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国防支出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公共安全支出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8,780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469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1,203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-61.0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3,255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37.1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2,891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364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12.6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教育支出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35,673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2,091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7,513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-72.2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18,492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51.8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16,573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1,919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11.6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科学技术支出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594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-97.5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63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-727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-92.0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文化旅游体育与传媒支出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6,936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1,359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504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169.6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3,392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48.9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1,671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1,721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103.0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社会保障和就业支出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40,134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4,077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5,939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-31.4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20,666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51.5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13,894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6,772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48.7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卫生健康支出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29,551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4,204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5,131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-18.1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26,480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89.6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18,323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8,157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44.5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节能环保支出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10,487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479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75.8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3,016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28.8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1,626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1,390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85.5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城乡社区支出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30,849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9,108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13,560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-32.8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29,518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95.7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30,509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-991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-3.2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农林水支出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62,591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9,363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272.9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22,339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35.7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8,792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13,547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154.1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交通运输支出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8,052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140.0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4,418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54.9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1,807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2,611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144.5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资源勘探信息等支出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3,407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586.7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2,203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64.7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1,449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52.0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商业服务业等支出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1,890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716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508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40.9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1,091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57.7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1,416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-325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-23.0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金融支出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自然资源海洋气象等支出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2,050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14.3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1,445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70.5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821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76.0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住房保障支出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6,994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994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3,461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-71.3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6,497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92.9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8,390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-1,893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-22.6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粮油物资储备支出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14.5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37.5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 xml:space="preserve">  灾害防治及应急管理支出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581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70.6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410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预备费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2,000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债务付息支出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10,500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2,353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2,473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-4.9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5,788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55.1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5,671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117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2.1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其他支出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8,836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2,595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29.4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1,695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188.3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政府性基金预算支出合计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27,750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2,044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 974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109.9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10,496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37.8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5,805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4,691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 xml:space="preserve">     80.8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文化旅游体育与传媒支出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社会保障和就业支出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2,161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1,505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69.6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1,401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1,347.1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城乡社区事务支出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19,241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1,703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970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75.6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7,689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40.0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5,069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2,620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51.7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农林水支出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200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99.5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商业服务业支出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债务付息支出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15.7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141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-  </w:t>
                  </w:r>
                </w:p>
              </w:tc>
            </w:tr>
            <w:tr w:rsidR="00590899" w:rsidRPr="00590899" w:rsidTr="0059089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其他支出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4,628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-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  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-100.0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962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20.8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632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       330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99" w:rsidRPr="00590899" w:rsidRDefault="00590899" w:rsidP="00DC1340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590899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52.2 </w:t>
                  </w:r>
                </w:p>
              </w:tc>
            </w:tr>
          </w:tbl>
          <w:p w:rsidR="00590899" w:rsidRPr="004D45CC" w:rsidRDefault="00590899" w:rsidP="00DC13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8"/>
                <w:szCs w:val="28"/>
              </w:rPr>
            </w:pPr>
          </w:p>
        </w:tc>
      </w:tr>
    </w:tbl>
    <w:p w:rsidR="00D87F0A" w:rsidRDefault="00D87F0A" w:rsidP="00D87F0A">
      <w:pPr>
        <w:spacing w:line="720" w:lineRule="auto"/>
        <w:ind w:rightChars="-349" w:right="-733"/>
        <w:jc w:val="left"/>
      </w:pPr>
    </w:p>
    <w:sectPr w:rsidR="00D87F0A" w:rsidSect="00D87F0A">
      <w:pgSz w:w="16838" w:h="11906" w:orient="landscape"/>
      <w:pgMar w:top="1587" w:right="1701" w:bottom="1587" w:left="1587" w:header="851" w:footer="992" w:gutter="0"/>
      <w:pgNumType w:fmt="numberInDash"/>
      <w:cols w:space="0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8F" w:rsidRDefault="001F358F" w:rsidP="00D87F0A">
      <w:r>
        <w:separator/>
      </w:r>
    </w:p>
  </w:endnote>
  <w:endnote w:type="continuationSeparator" w:id="0">
    <w:p w:rsidR="001F358F" w:rsidRDefault="001F358F" w:rsidP="00D87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DC13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A37A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 filled="f" stroked="f" strokeweight=".5pt">
          <v:textbox style="mso-fit-shape-to-text:t" inset="0,0,0,0">
            <w:txbxContent>
              <w:p w:rsidR="00DC1340" w:rsidRDefault="00A37A0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C134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9492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DC13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8F" w:rsidRDefault="001F358F" w:rsidP="00D87F0A">
      <w:r>
        <w:separator/>
      </w:r>
    </w:p>
  </w:footnote>
  <w:footnote w:type="continuationSeparator" w:id="0">
    <w:p w:rsidR="001F358F" w:rsidRDefault="001F358F" w:rsidP="00D87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DC13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DC1340" w:rsidP="0067175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40" w:rsidRDefault="00DC13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E935"/>
    <w:multiLevelType w:val="singleLevel"/>
    <w:tmpl w:val="5CD0E935"/>
    <w:lvl w:ilvl="0">
      <w:start w:val="1"/>
      <w:numFmt w:val="decimal"/>
      <w:suff w:val="nothing"/>
      <w:lvlText w:val="%1."/>
      <w:lvlJc w:val="left"/>
    </w:lvl>
  </w:abstractNum>
  <w:abstractNum w:abstractNumId="1">
    <w:nsid w:val="5CD0EAEC"/>
    <w:multiLevelType w:val="singleLevel"/>
    <w:tmpl w:val="5CD0EAE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CD0EC4A"/>
    <w:multiLevelType w:val="singleLevel"/>
    <w:tmpl w:val="5CD0EC4A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CD2ADCF"/>
    <w:multiLevelType w:val="singleLevel"/>
    <w:tmpl w:val="5CD2ADCF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68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2A3C72"/>
    <w:rsid w:val="000075FE"/>
    <w:rsid w:val="0004428F"/>
    <w:rsid w:val="00151C42"/>
    <w:rsid w:val="001F358F"/>
    <w:rsid w:val="00205A5C"/>
    <w:rsid w:val="00232303"/>
    <w:rsid w:val="00271DA6"/>
    <w:rsid w:val="002A1367"/>
    <w:rsid w:val="002F5BE6"/>
    <w:rsid w:val="003133E3"/>
    <w:rsid w:val="004D45CC"/>
    <w:rsid w:val="00590899"/>
    <w:rsid w:val="005D117B"/>
    <w:rsid w:val="00671753"/>
    <w:rsid w:val="0067272A"/>
    <w:rsid w:val="00694921"/>
    <w:rsid w:val="006B2A3E"/>
    <w:rsid w:val="006F0E12"/>
    <w:rsid w:val="008147D6"/>
    <w:rsid w:val="008B1457"/>
    <w:rsid w:val="009D0FEA"/>
    <w:rsid w:val="00A12B7A"/>
    <w:rsid w:val="00A37A08"/>
    <w:rsid w:val="00B03931"/>
    <w:rsid w:val="00BC7727"/>
    <w:rsid w:val="00C02230"/>
    <w:rsid w:val="00C351D7"/>
    <w:rsid w:val="00C51AA2"/>
    <w:rsid w:val="00C90F3B"/>
    <w:rsid w:val="00D0101B"/>
    <w:rsid w:val="00D060B7"/>
    <w:rsid w:val="00D87F0A"/>
    <w:rsid w:val="00D95100"/>
    <w:rsid w:val="00DC1340"/>
    <w:rsid w:val="00E76AEC"/>
    <w:rsid w:val="015E637A"/>
    <w:rsid w:val="01D95DF1"/>
    <w:rsid w:val="038164C0"/>
    <w:rsid w:val="04CF62DF"/>
    <w:rsid w:val="088C4844"/>
    <w:rsid w:val="0C5458B3"/>
    <w:rsid w:val="17056212"/>
    <w:rsid w:val="18175CC5"/>
    <w:rsid w:val="1BE71772"/>
    <w:rsid w:val="1E7D6943"/>
    <w:rsid w:val="1EF26861"/>
    <w:rsid w:val="20A972D8"/>
    <w:rsid w:val="211F3BB4"/>
    <w:rsid w:val="25A84D3A"/>
    <w:rsid w:val="2770521F"/>
    <w:rsid w:val="27895E4C"/>
    <w:rsid w:val="286C4EC9"/>
    <w:rsid w:val="2F8B5AFC"/>
    <w:rsid w:val="392A3C72"/>
    <w:rsid w:val="3D191018"/>
    <w:rsid w:val="3FBF7773"/>
    <w:rsid w:val="44D82764"/>
    <w:rsid w:val="47C155A6"/>
    <w:rsid w:val="53684302"/>
    <w:rsid w:val="54B3305C"/>
    <w:rsid w:val="55192DCA"/>
    <w:rsid w:val="58D30A94"/>
    <w:rsid w:val="60A30CBC"/>
    <w:rsid w:val="64556C48"/>
    <w:rsid w:val="6648347D"/>
    <w:rsid w:val="67703CD0"/>
    <w:rsid w:val="6C653A8C"/>
    <w:rsid w:val="6D546C32"/>
    <w:rsid w:val="6E0D7B5C"/>
    <w:rsid w:val="74AD133D"/>
    <w:rsid w:val="769C0C71"/>
    <w:rsid w:val="78067F7A"/>
    <w:rsid w:val="79EF2104"/>
    <w:rsid w:val="7B252A71"/>
    <w:rsid w:val="7C0673EE"/>
    <w:rsid w:val="7D2F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F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7F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87F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7272A"/>
    <w:rPr>
      <w:sz w:val="18"/>
      <w:szCs w:val="18"/>
    </w:rPr>
  </w:style>
  <w:style w:type="character" w:customStyle="1" w:styleId="Char">
    <w:name w:val="批注框文本 Char"/>
    <w:basedOn w:val="a0"/>
    <w:link w:val="a5"/>
    <w:rsid w:val="006727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F:\&#34920;&#26684;\2019&#24180;&#25910;&#25903;&#26376;&#25253;\1-6&#26376;&#20221;&#36130;&#25919;&#25910;&#25903;&#25191;&#34892;&#24773;&#20917;&#20998;&#26512;&#34920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2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一般公共预算支出分月完成数及增长情况</a:t>
            </a:r>
          </a:p>
          <a:p>
            <a:pPr algn="ctr" defTabSz="914400">
              <a:defRPr sz="1400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2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layout>
        <c:manualLayout>
          <c:xMode val="edge"/>
          <c:yMode val="edge"/>
          <c:x val="0.136014873140857"/>
          <c:y val="3.33333333333333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支出完成数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chemeClr val="accent1">
                  <a:alpha val="38000"/>
                </a:scheme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horzOverflow="overflow" vert="horz" wrap="square" anchor="ctr" anchorCtr="1"/>
              <a:lstStyle/>
              <a:p>
                <a:pPr>
                  <a:defRPr sz="900" kern="120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Sheet1!$B$2:$G$2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23166</c:v>
                </c:pt>
                <c:pt idx="1">
                  <c:v>25144</c:v>
                </c:pt>
                <c:pt idx="2">
                  <c:v>45441</c:v>
                </c:pt>
                <c:pt idx="3">
                  <c:v>5461</c:v>
                </c:pt>
                <c:pt idx="4">
                  <c:v>24532</c:v>
                </c:pt>
                <c:pt idx="5">
                  <c:v>38431</c:v>
                </c:pt>
              </c:numCache>
            </c:numRef>
          </c:val>
        </c:ser>
        <c:axId val="135122944"/>
        <c:axId val="135124480"/>
      </c:barChart>
      <c:lineChart>
        <c:grouping val="standard"/>
        <c:ser>
          <c:idx val="1"/>
          <c:order val="1"/>
          <c:tx>
            <c:strRef>
              <c:f>Sheet1!$A$4</c:f>
              <c:strCache>
                <c:ptCount val="1"/>
                <c:pt idx="0">
                  <c:v>增幅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>
              <a:outerShdw blurRad="40000" dist="20000" dir="5400000" rotWithShape="0">
                <a:schemeClr val="accent2">
                  <a:alpha val="38000"/>
                </a:schemeClr>
              </a:outerShdw>
            </a:effectLst>
          </c:spPr>
          <c:marker>
            <c:symbol val="circle"/>
            <c:size val="5"/>
            <c:spPr>
              <a:solidFill>
                <a:schemeClr val="accent2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chemeClr val="accent2">
                    <a:alpha val="38000"/>
                  </a:schemeClr>
                </a:outerShdw>
              </a:effectLst>
            </c:spPr>
          </c:marker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000000000000024E-2"/>
                  <c:y val="-6.91489361702128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Sheet1!$B$2:$G$2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Sheet1!$B$4:$G$4</c:f>
              <c:numCache>
                <c:formatCode>0.0_ </c:formatCode>
                <c:ptCount val="6"/>
                <c:pt idx="0">
                  <c:v>129.5</c:v>
                </c:pt>
                <c:pt idx="1">
                  <c:v>58.9</c:v>
                </c:pt>
                <c:pt idx="2">
                  <c:v>60.4</c:v>
                </c:pt>
                <c:pt idx="3">
                  <c:v>-50</c:v>
                </c:pt>
                <c:pt idx="4">
                  <c:v>79.7</c:v>
                </c:pt>
                <c:pt idx="5">
                  <c:v>-19.600000000000001</c:v>
                </c:pt>
              </c:numCache>
            </c:numRef>
          </c:val>
        </c:ser>
        <c:marker val="1"/>
        <c:axId val="135126016"/>
        <c:axId val="118346880"/>
      </c:lineChart>
      <c:catAx>
        <c:axId val="135122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5124480"/>
        <c:crosses val="autoZero"/>
        <c:auto val="1"/>
        <c:lblAlgn val="ctr"/>
        <c:lblOffset val="100"/>
        <c:tickMarkSkip val="1"/>
      </c:catAx>
      <c:valAx>
        <c:axId val="135124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5122944"/>
        <c:crosses val="autoZero"/>
        <c:crossBetween val="between"/>
      </c:valAx>
      <c:catAx>
        <c:axId val="13512601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18346880"/>
        <c:crosses val="autoZero"/>
        <c:auto val="1"/>
        <c:lblAlgn val="ctr"/>
        <c:lblOffset val="100"/>
        <c:tickMarkSkip val="1"/>
      </c:catAx>
      <c:valAx>
        <c:axId val="118346880"/>
        <c:scaling>
          <c:orientation val="minMax"/>
        </c:scaling>
        <c:axPos val="r"/>
        <c:numFmt formatCode="0.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512601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horzOverflow="overflow" vert="horz" wrap="square" anchor="ctr" anchorCtr="1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horzOverflow="overflow" vert="horz" wrap="square" anchor="ctr" anchorCtr="1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zh-CN"/>
          </a:p>
        </c:txPr>
      </c:legendEntry>
      <c:layout>
        <c:manualLayout>
          <c:xMode val="edge"/>
          <c:yMode val="edge"/>
          <c:x val="0.33812500000000068"/>
          <c:y val="0.89212962962963038"/>
        </c:manualLayout>
      </c:layout>
      <c:spPr>
        <a:noFill/>
        <a:ln>
          <a:noFill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sz="900" kern="120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kern="1200">
          <a:solidFill>
            <a:schemeClr val="dk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vertOverflow="ellipsis" vert="horz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全市税收收入构成情况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7.1831472314953404E-2"/>
                  <c:y val="1.152294987516802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5975595717739208E-2"/>
                  <c:y val="-2.85846764698921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3933463796477851E-2"/>
                  <c:y val="-3.93971184750247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3345228502359824"/>
                  <c:y val="-9.21835990013440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8372280419016937"/>
                  <c:y val="2.304589975033615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43662944629907"/>
                  <c:y val="-9.679277895141166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8.702659145850121E-2"/>
                  <c:y val="-4.609179950067219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9753654886612246"/>
                  <c:y val="2.304589975033615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11476852822889502"/>
                  <c:y val="-2.99006939477293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51951191435478E-2"/>
                  <c:y val="-2.76550797004034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10509957407621"/>
                  <c:y val="-1.382753985020170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251410153102337"/>
                  <c:y val="2.99596696754369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spcFirstLastPara="0" vertOverflow="ellipsis" horzOverflow="overflow" vert="horz" wrap="square" anchor="ctr" anchorCtr="1"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zh-CN"/>
              </a:p>
            </c:txPr>
            <c:dLblPos val="outEnd"/>
            <c:showLegendKey val="1"/>
            <c:showCatName val="1"/>
            <c:showPercent val="1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全市税收收入构成情况!$A$2:$A$13</c:f>
              <c:strCache>
                <c:ptCount val="12"/>
                <c:pt idx="0">
                  <c:v>增值税</c:v>
                </c:pt>
                <c:pt idx="1">
                  <c:v>企业所得税</c:v>
                </c:pt>
                <c:pt idx="2">
                  <c:v>个人所得税</c:v>
                </c:pt>
                <c:pt idx="3">
                  <c:v>城市维护建设税</c:v>
                </c:pt>
                <c:pt idx="4">
                  <c:v>房产税</c:v>
                </c:pt>
                <c:pt idx="5">
                  <c:v>印花税</c:v>
                </c:pt>
                <c:pt idx="6">
                  <c:v>城镇土地使用税</c:v>
                </c:pt>
                <c:pt idx="7">
                  <c:v>土地增值税</c:v>
                </c:pt>
                <c:pt idx="8">
                  <c:v>车船税</c:v>
                </c:pt>
                <c:pt idx="9">
                  <c:v>耕地占用税</c:v>
                </c:pt>
                <c:pt idx="10">
                  <c:v>契税</c:v>
                </c:pt>
                <c:pt idx="11">
                  <c:v>环境保护税</c:v>
                </c:pt>
              </c:strCache>
            </c:strRef>
          </c:cat>
          <c:val>
            <c:numRef>
              <c:f>全市税收收入构成情况!$B$2:$B$13</c:f>
              <c:numCache>
                <c:formatCode>General</c:formatCode>
                <c:ptCount val="12"/>
                <c:pt idx="0">
                  <c:v>10782</c:v>
                </c:pt>
                <c:pt idx="1">
                  <c:v>2752</c:v>
                </c:pt>
                <c:pt idx="2">
                  <c:v>876</c:v>
                </c:pt>
                <c:pt idx="3">
                  <c:v>1981</c:v>
                </c:pt>
                <c:pt idx="4">
                  <c:v>1713</c:v>
                </c:pt>
                <c:pt idx="5">
                  <c:v>1102</c:v>
                </c:pt>
                <c:pt idx="6">
                  <c:v>2299</c:v>
                </c:pt>
                <c:pt idx="7">
                  <c:v>210</c:v>
                </c:pt>
                <c:pt idx="8">
                  <c:v>701</c:v>
                </c:pt>
                <c:pt idx="9">
                  <c:v>671</c:v>
                </c:pt>
                <c:pt idx="10">
                  <c:v>1194</c:v>
                </c:pt>
                <c:pt idx="11">
                  <c:v>828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rot="0" vertOverflow="ellipsis" vert="horz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全市财政支出构成情况</a:t>
            </a:r>
          </a:p>
        </c:rich>
      </c:tx>
      <c:layout>
        <c:manualLayout>
          <c:xMode val="edge"/>
          <c:yMode val="edge"/>
          <c:x val="0.34791416450390161"/>
          <c:y val="2.2379709063782206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4514616631930324"/>
                  <c:y val="1.152294987516802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6047388711258201"/>
                  <c:y val="4.30303925342108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1291326021850209E-2"/>
                  <c:y val="1.66094250934523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2468808483702476E-2"/>
                  <c:y val="-9.218359900134399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4978655890601403E-2"/>
                  <c:y val="0.1097271934811883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67784443502028E-2"/>
                  <c:y val="0.1359561953119234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8.702659145850121E-2"/>
                  <c:y val="-4.609179950067219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503169154395923"/>
                  <c:y val="-0.1252597516885248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3880053547316911E-2"/>
                  <c:y val="-4.10905484796203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16280867232100887"/>
                  <c:y val="0.1739341146007012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26973235386917299"/>
                  <c:y val="9.58330345623309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28664514357364901"/>
                  <c:y val="-1.03238066393710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outEnd"/>
              <c:showLegendKey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spcFirstLastPara="0" vertOverflow="ellipsis" horzOverflow="overflow" vert="horz" wrap="square" anchor="ctr" anchorCtr="1"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zh-CN"/>
              </a:p>
            </c:txPr>
            <c:dLblPos val="outEnd"/>
            <c:showLegendKey val="1"/>
            <c:showCatName val="1"/>
            <c:showPercent val="1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noFill/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全市财政支出构成情况!$A$2:$A$13</c:f>
              <c:strCache>
                <c:ptCount val="12"/>
                <c:pt idx="0">
                  <c:v>一般公共服务支出</c:v>
                </c:pt>
                <c:pt idx="1">
                  <c:v>公共安全支出</c:v>
                </c:pt>
                <c:pt idx="2">
                  <c:v>教育支出</c:v>
                </c:pt>
                <c:pt idx="3">
                  <c:v>科学技术支出</c:v>
                </c:pt>
                <c:pt idx="4">
                  <c:v>文化旅游体育与传媒支出</c:v>
                </c:pt>
                <c:pt idx="5">
                  <c:v>社会保障和就业支出</c:v>
                </c:pt>
                <c:pt idx="6">
                  <c:v>卫生健康支出</c:v>
                </c:pt>
                <c:pt idx="7">
                  <c:v>节能环保支出</c:v>
                </c:pt>
                <c:pt idx="8">
                  <c:v>城乡社区支出</c:v>
                </c:pt>
                <c:pt idx="9">
                  <c:v>农林水支出</c:v>
                </c:pt>
                <c:pt idx="10">
                  <c:v>交通运输支出</c:v>
                </c:pt>
                <c:pt idx="11">
                  <c:v>资源勘探信息等支出</c:v>
                </c:pt>
              </c:strCache>
            </c:strRef>
          </c:cat>
          <c:val>
            <c:numRef>
              <c:f>全市财政支出构成情况!$B$2:$B$13</c:f>
              <c:numCache>
                <c:formatCode>General</c:formatCode>
                <c:ptCount val="12"/>
                <c:pt idx="0">
                  <c:v>10496</c:v>
                </c:pt>
                <c:pt idx="1">
                  <c:v>3255</c:v>
                </c:pt>
                <c:pt idx="2">
                  <c:v>18492</c:v>
                </c:pt>
                <c:pt idx="3">
                  <c:v>63</c:v>
                </c:pt>
                <c:pt idx="4">
                  <c:v>3392</c:v>
                </c:pt>
                <c:pt idx="5">
                  <c:v>20666</c:v>
                </c:pt>
                <c:pt idx="6">
                  <c:v>26480</c:v>
                </c:pt>
                <c:pt idx="7">
                  <c:v>3016</c:v>
                </c:pt>
                <c:pt idx="8">
                  <c:v>29518</c:v>
                </c:pt>
                <c:pt idx="9">
                  <c:v>22339</c:v>
                </c:pt>
                <c:pt idx="10">
                  <c:v>4418</c:v>
                </c:pt>
                <c:pt idx="11">
                  <c:v>2203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全市一般公共预算收入完成情况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一般公共预算收入累计完成!$A$4</c:f>
              <c:strCache>
                <c:ptCount val="1"/>
                <c:pt idx="0">
                  <c:v>2017年收入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一般公共预算收入累计完成!$B$1:$M$3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一般公共预算收入累计完成!$B$4:$M$4</c:f>
              <c:numCache>
                <c:formatCode>General</c:formatCode>
                <c:ptCount val="12"/>
                <c:pt idx="0">
                  <c:v>8338</c:v>
                </c:pt>
                <c:pt idx="1">
                  <c:v>14263</c:v>
                </c:pt>
                <c:pt idx="2">
                  <c:v>19176</c:v>
                </c:pt>
                <c:pt idx="3">
                  <c:v>25527</c:v>
                </c:pt>
                <c:pt idx="4">
                  <c:v>30959</c:v>
                </c:pt>
                <c:pt idx="5">
                  <c:v>38772</c:v>
                </c:pt>
                <c:pt idx="6">
                  <c:v>44809</c:v>
                </c:pt>
                <c:pt idx="7">
                  <c:v>50021</c:v>
                </c:pt>
                <c:pt idx="8">
                  <c:v>59140</c:v>
                </c:pt>
                <c:pt idx="9">
                  <c:v>65772</c:v>
                </c:pt>
                <c:pt idx="10">
                  <c:v>68859</c:v>
                </c:pt>
                <c:pt idx="11">
                  <c:v>79451</c:v>
                </c:pt>
              </c:numCache>
            </c:numRef>
          </c:val>
        </c:ser>
        <c:ser>
          <c:idx val="1"/>
          <c:order val="1"/>
          <c:tx>
            <c:strRef>
              <c:f>一般公共预算收入累计完成!$A$5</c:f>
              <c:strCache>
                <c:ptCount val="1"/>
                <c:pt idx="0">
                  <c:v>2018年收入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一般公共预算收入累计完成!$B$1:$M$3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一般公共预算收入累计完成!$B$5:$M$5</c:f>
              <c:numCache>
                <c:formatCode>General</c:formatCode>
                <c:ptCount val="12"/>
                <c:pt idx="0">
                  <c:v>7318</c:v>
                </c:pt>
                <c:pt idx="1">
                  <c:v>10428</c:v>
                </c:pt>
                <c:pt idx="2">
                  <c:v>18081</c:v>
                </c:pt>
                <c:pt idx="3">
                  <c:v>23604</c:v>
                </c:pt>
                <c:pt idx="4">
                  <c:v>27896</c:v>
                </c:pt>
                <c:pt idx="5">
                  <c:v>35174</c:v>
                </c:pt>
                <c:pt idx="6">
                  <c:v>40722</c:v>
                </c:pt>
                <c:pt idx="7">
                  <c:v>44498</c:v>
                </c:pt>
                <c:pt idx="8">
                  <c:v>50724</c:v>
                </c:pt>
                <c:pt idx="9">
                  <c:v>57483</c:v>
                </c:pt>
                <c:pt idx="10">
                  <c:v>62052</c:v>
                </c:pt>
                <c:pt idx="11">
                  <c:v>72294</c:v>
                </c:pt>
              </c:numCache>
            </c:numRef>
          </c:val>
        </c:ser>
        <c:ser>
          <c:idx val="2"/>
          <c:order val="2"/>
          <c:tx>
            <c:strRef>
              <c:f>一般公共预算收入累计完成!$A$6</c:f>
              <c:strCache>
                <c:ptCount val="1"/>
                <c:pt idx="0">
                  <c:v>2019年收入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一般公共预算收入累计完成!$B$1:$M$3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一般公共预算收入累计完成!$B$6:$M$6</c:f>
              <c:numCache>
                <c:formatCode>General</c:formatCode>
                <c:ptCount val="12"/>
                <c:pt idx="0">
                  <c:v>8516</c:v>
                </c:pt>
                <c:pt idx="1">
                  <c:v>11149</c:v>
                </c:pt>
                <c:pt idx="2">
                  <c:v>18593</c:v>
                </c:pt>
                <c:pt idx="3">
                  <c:v>24535</c:v>
                </c:pt>
                <c:pt idx="4">
                  <c:v>30244</c:v>
                </c:pt>
                <c:pt idx="5">
                  <c:v>36293</c:v>
                </c:pt>
              </c:numCache>
            </c:numRef>
          </c:val>
        </c:ser>
        <c:gapWidth val="219"/>
        <c:overlap val="-27"/>
        <c:axId val="58428416"/>
        <c:axId val="58467072"/>
      </c:barChart>
      <c:catAx>
        <c:axId val="58428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8467072"/>
        <c:crosses val="autoZero"/>
        <c:auto val="1"/>
        <c:lblAlgn val="ctr"/>
        <c:lblOffset val="100"/>
        <c:tickMarkSkip val="1"/>
      </c:catAx>
      <c:valAx>
        <c:axId val="58467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8428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全市一般公共预算收入增长情况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一般公共预算收入累计完成增长率!$A$4</c:f>
              <c:strCache>
                <c:ptCount val="1"/>
                <c:pt idx="0">
                  <c:v>2017年增长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一般公共预算收入累计完成增长率!$B$1:$M$3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一般公共预算收入累计完成增长率!$B$4:$M$4</c:f>
              <c:numCache>
                <c:formatCode>0.0_ </c:formatCode>
                <c:ptCount val="12"/>
                <c:pt idx="0">
                  <c:v>5.6</c:v>
                </c:pt>
                <c:pt idx="1">
                  <c:v>4.3</c:v>
                </c:pt>
                <c:pt idx="2">
                  <c:v>8.5</c:v>
                </c:pt>
                <c:pt idx="3">
                  <c:v>-1.2</c:v>
                </c:pt>
                <c:pt idx="4">
                  <c:v>0.2</c:v>
                </c:pt>
                <c:pt idx="5">
                  <c:v>8.4</c:v>
                </c:pt>
                <c:pt idx="6">
                  <c:v>4.3</c:v>
                </c:pt>
                <c:pt idx="7">
                  <c:v>2.6</c:v>
                </c:pt>
                <c:pt idx="8">
                  <c:v>6.4</c:v>
                </c:pt>
                <c:pt idx="9">
                  <c:v>4.5999999999999996</c:v>
                </c:pt>
                <c:pt idx="10">
                  <c:v>2.1</c:v>
                </c:pt>
                <c:pt idx="11">
                  <c:v>6.2</c:v>
                </c:pt>
              </c:numCache>
            </c:numRef>
          </c:val>
        </c:ser>
        <c:ser>
          <c:idx val="1"/>
          <c:order val="1"/>
          <c:tx>
            <c:strRef>
              <c:f>一般公共预算收入累计完成增长率!$A$5</c:f>
              <c:strCache>
                <c:ptCount val="1"/>
                <c:pt idx="0">
                  <c:v>2018年增长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一般公共预算收入累计完成增长率!$B$1:$M$3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一般公共预算收入累计完成增长率!$B$5:$M$5</c:f>
              <c:numCache>
                <c:formatCode>0.0_ </c:formatCode>
                <c:ptCount val="12"/>
                <c:pt idx="0">
                  <c:v>-12.2</c:v>
                </c:pt>
                <c:pt idx="1">
                  <c:v>-27</c:v>
                </c:pt>
                <c:pt idx="2">
                  <c:v>-5.7</c:v>
                </c:pt>
                <c:pt idx="3">
                  <c:v>-7.5</c:v>
                </c:pt>
                <c:pt idx="4">
                  <c:v>-9.9</c:v>
                </c:pt>
                <c:pt idx="5">
                  <c:v>-9.3000000000000007</c:v>
                </c:pt>
                <c:pt idx="6">
                  <c:v>-9.1</c:v>
                </c:pt>
                <c:pt idx="7">
                  <c:v>-11</c:v>
                </c:pt>
                <c:pt idx="8">
                  <c:v>-14.2</c:v>
                </c:pt>
                <c:pt idx="9">
                  <c:v>-12.6</c:v>
                </c:pt>
                <c:pt idx="10">
                  <c:v>-9.9</c:v>
                </c:pt>
                <c:pt idx="11">
                  <c:v>-9</c:v>
                </c:pt>
              </c:numCache>
            </c:numRef>
          </c:val>
        </c:ser>
        <c:ser>
          <c:idx val="2"/>
          <c:order val="2"/>
          <c:tx>
            <c:strRef>
              <c:f>一般公共预算收入累计完成增长率!$A$6</c:f>
              <c:strCache>
                <c:ptCount val="1"/>
                <c:pt idx="0">
                  <c:v>2019年增长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一般公共预算收入累计完成增长率!$B$1:$M$3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一般公共预算收入累计完成增长率!$B$6:$M$6</c:f>
              <c:numCache>
                <c:formatCode>0.0_ </c:formatCode>
                <c:ptCount val="12"/>
                <c:pt idx="0">
                  <c:v>16.399999999999999</c:v>
                </c:pt>
                <c:pt idx="1">
                  <c:v>6.9</c:v>
                </c:pt>
                <c:pt idx="2">
                  <c:v>2.8</c:v>
                </c:pt>
                <c:pt idx="3">
                  <c:v>3.9</c:v>
                </c:pt>
                <c:pt idx="4">
                  <c:v>8.4</c:v>
                </c:pt>
                <c:pt idx="5">
                  <c:v>3.2</c:v>
                </c:pt>
              </c:numCache>
            </c:numRef>
          </c:val>
        </c:ser>
        <c:marker val="1"/>
        <c:axId val="118434432"/>
        <c:axId val="118440704"/>
      </c:lineChart>
      <c:catAx>
        <c:axId val="11843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40704"/>
        <c:crosses val="autoZero"/>
        <c:auto val="1"/>
        <c:lblAlgn val="ctr"/>
        <c:lblOffset val="100"/>
        <c:tickMarkSkip val="1"/>
      </c:catAx>
      <c:valAx>
        <c:axId val="118440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34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全市一般公共预算收入分月完成情况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一般公共预算收入分月完成!$A$4</c:f>
              <c:strCache>
                <c:ptCount val="1"/>
                <c:pt idx="0">
                  <c:v>2017年收入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一般公共预算收入分月完成!$B$1:$M$3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一般公共预算收入分月完成!$B$4:$M$4</c:f>
              <c:numCache>
                <c:formatCode>General</c:formatCode>
                <c:ptCount val="12"/>
                <c:pt idx="0">
                  <c:v>8338</c:v>
                </c:pt>
                <c:pt idx="1">
                  <c:v>5925</c:v>
                </c:pt>
                <c:pt idx="2">
                  <c:v>4913</c:v>
                </c:pt>
                <c:pt idx="3">
                  <c:v>6351</c:v>
                </c:pt>
                <c:pt idx="4">
                  <c:v>5432</c:v>
                </c:pt>
                <c:pt idx="5">
                  <c:v>7813</c:v>
                </c:pt>
                <c:pt idx="6">
                  <c:v>6037</c:v>
                </c:pt>
                <c:pt idx="7">
                  <c:v>5212</c:v>
                </c:pt>
                <c:pt idx="8">
                  <c:v>9119</c:v>
                </c:pt>
                <c:pt idx="9">
                  <c:v>6632</c:v>
                </c:pt>
                <c:pt idx="10">
                  <c:v>3086</c:v>
                </c:pt>
                <c:pt idx="11">
                  <c:v>10576</c:v>
                </c:pt>
              </c:numCache>
            </c:numRef>
          </c:val>
        </c:ser>
        <c:ser>
          <c:idx val="1"/>
          <c:order val="1"/>
          <c:tx>
            <c:strRef>
              <c:f>一般公共预算收入分月完成!$A$5</c:f>
              <c:strCache>
                <c:ptCount val="1"/>
                <c:pt idx="0">
                  <c:v>2018年收入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一般公共预算收入分月完成!$B$1:$M$3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一般公共预算收入分月完成!$B$5:$M$5</c:f>
              <c:numCache>
                <c:formatCode>General</c:formatCode>
                <c:ptCount val="12"/>
                <c:pt idx="0">
                  <c:v>7318</c:v>
                </c:pt>
                <c:pt idx="1">
                  <c:v>3110</c:v>
                </c:pt>
                <c:pt idx="2">
                  <c:v>7685</c:v>
                </c:pt>
                <c:pt idx="3">
                  <c:v>5523</c:v>
                </c:pt>
                <c:pt idx="4">
                  <c:v>4292</c:v>
                </c:pt>
                <c:pt idx="5">
                  <c:v>7278</c:v>
                </c:pt>
                <c:pt idx="6">
                  <c:v>5548</c:v>
                </c:pt>
                <c:pt idx="7">
                  <c:v>3776</c:v>
                </c:pt>
                <c:pt idx="8">
                  <c:v>6226</c:v>
                </c:pt>
                <c:pt idx="9">
                  <c:v>6759</c:v>
                </c:pt>
                <c:pt idx="10">
                  <c:v>4569</c:v>
                </c:pt>
                <c:pt idx="11">
                  <c:v>10242</c:v>
                </c:pt>
              </c:numCache>
            </c:numRef>
          </c:val>
        </c:ser>
        <c:ser>
          <c:idx val="2"/>
          <c:order val="2"/>
          <c:tx>
            <c:strRef>
              <c:f>一般公共预算收入分月完成!$A$6</c:f>
              <c:strCache>
                <c:ptCount val="1"/>
                <c:pt idx="0">
                  <c:v>2019年收入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一般公共预算收入分月完成!$B$1:$M$3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一般公共预算收入分月完成!$B$6:$M$6</c:f>
              <c:numCache>
                <c:formatCode>General</c:formatCode>
                <c:ptCount val="12"/>
                <c:pt idx="0">
                  <c:v>8516</c:v>
                </c:pt>
                <c:pt idx="1">
                  <c:v>2633</c:v>
                </c:pt>
                <c:pt idx="2">
                  <c:v>7444</c:v>
                </c:pt>
                <c:pt idx="3">
                  <c:v>5938</c:v>
                </c:pt>
                <c:pt idx="4">
                  <c:v>5709</c:v>
                </c:pt>
                <c:pt idx="5">
                  <c:v>6049</c:v>
                </c:pt>
              </c:numCache>
            </c:numRef>
          </c:val>
        </c:ser>
        <c:gapWidth val="219"/>
        <c:overlap val="-27"/>
        <c:axId val="118463488"/>
        <c:axId val="118469376"/>
      </c:barChart>
      <c:catAx>
        <c:axId val="118463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69376"/>
        <c:crosses val="autoZero"/>
        <c:auto val="1"/>
        <c:lblAlgn val="ctr"/>
        <c:lblOffset val="100"/>
        <c:tickMarkSkip val="1"/>
      </c:catAx>
      <c:valAx>
        <c:axId val="118469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63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全市一般公共预算收入分月增长情况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一般公共预算收入分月增长率!$A$4</c:f>
              <c:strCache>
                <c:ptCount val="1"/>
                <c:pt idx="0">
                  <c:v>2017年增长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一般公共预算收入分月增长率!$B$1:$M$3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一般公共预算收入分月增长率!$B$4:$M$4</c:f>
              <c:numCache>
                <c:formatCode>0.0_ </c:formatCode>
                <c:ptCount val="12"/>
                <c:pt idx="0">
                  <c:v>5.6</c:v>
                </c:pt>
                <c:pt idx="1">
                  <c:v>2.4</c:v>
                </c:pt>
                <c:pt idx="2">
                  <c:v>22.7</c:v>
                </c:pt>
                <c:pt idx="3">
                  <c:v>-22.2</c:v>
                </c:pt>
                <c:pt idx="4">
                  <c:v>7.6</c:v>
                </c:pt>
                <c:pt idx="5">
                  <c:v>60</c:v>
                </c:pt>
                <c:pt idx="6">
                  <c:v>-15.7</c:v>
                </c:pt>
                <c:pt idx="7">
                  <c:v>-10</c:v>
                </c:pt>
                <c:pt idx="8">
                  <c:v>33.1</c:v>
                </c:pt>
                <c:pt idx="9">
                  <c:v>-9</c:v>
                </c:pt>
                <c:pt idx="10">
                  <c:v>-32.6</c:v>
                </c:pt>
                <c:pt idx="11">
                  <c:v>43.4</c:v>
                </c:pt>
              </c:numCache>
            </c:numRef>
          </c:val>
        </c:ser>
        <c:ser>
          <c:idx val="1"/>
          <c:order val="1"/>
          <c:tx>
            <c:strRef>
              <c:f>一般公共预算收入分月增长率!$A$5</c:f>
              <c:strCache>
                <c:ptCount val="1"/>
                <c:pt idx="0">
                  <c:v>2018年增长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一般公共预算收入分月增长率!$B$1:$M$3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一般公共预算收入分月增长率!$B$5:$M$5</c:f>
              <c:numCache>
                <c:formatCode>0.0_ </c:formatCode>
                <c:ptCount val="12"/>
                <c:pt idx="0">
                  <c:v>12.2</c:v>
                </c:pt>
                <c:pt idx="1">
                  <c:v>-47.5</c:v>
                </c:pt>
                <c:pt idx="2">
                  <c:v>56.4</c:v>
                </c:pt>
                <c:pt idx="3">
                  <c:v>-13</c:v>
                </c:pt>
                <c:pt idx="4">
                  <c:v>79</c:v>
                </c:pt>
                <c:pt idx="5">
                  <c:v>-6.8</c:v>
                </c:pt>
                <c:pt idx="6">
                  <c:v>8.1</c:v>
                </c:pt>
                <c:pt idx="7">
                  <c:v>-27.6</c:v>
                </c:pt>
                <c:pt idx="8">
                  <c:v>-31.7</c:v>
                </c:pt>
                <c:pt idx="9">
                  <c:v>1.9000000000000001</c:v>
                </c:pt>
                <c:pt idx="10">
                  <c:v>48</c:v>
                </c:pt>
                <c:pt idx="11">
                  <c:v>-3.2</c:v>
                </c:pt>
              </c:numCache>
            </c:numRef>
          </c:val>
        </c:ser>
        <c:ser>
          <c:idx val="2"/>
          <c:order val="2"/>
          <c:tx>
            <c:strRef>
              <c:f>一般公共预算收入分月增长率!$A$6</c:f>
              <c:strCache>
                <c:ptCount val="1"/>
                <c:pt idx="0">
                  <c:v>2019年增长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一般公共预算收入分月增长率!$B$1:$M$3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一般公共预算收入分月增长率!$B$6:$M$6</c:f>
              <c:numCache>
                <c:formatCode>0.0_ </c:formatCode>
                <c:ptCount val="12"/>
                <c:pt idx="0">
                  <c:v>16.399999999999999</c:v>
                </c:pt>
                <c:pt idx="1">
                  <c:v>-15.3</c:v>
                </c:pt>
                <c:pt idx="2">
                  <c:v>-3.1</c:v>
                </c:pt>
                <c:pt idx="3">
                  <c:v>7.5</c:v>
                </c:pt>
                <c:pt idx="4">
                  <c:v>33</c:v>
                </c:pt>
                <c:pt idx="5">
                  <c:v>-16.899999999999999</c:v>
                </c:pt>
              </c:numCache>
            </c:numRef>
          </c:val>
        </c:ser>
        <c:marker val="1"/>
        <c:axId val="118491776"/>
        <c:axId val="118498048"/>
      </c:lineChart>
      <c:catAx>
        <c:axId val="118491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98048"/>
        <c:crosses val="autoZero"/>
        <c:auto val="1"/>
        <c:lblAlgn val="ctr"/>
        <c:lblOffset val="100"/>
        <c:tickMarkSkip val="1"/>
      </c:catAx>
      <c:valAx>
        <c:axId val="118498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491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全市一般公共预算支出完成情况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一般公共预算支出累计完成!$A$3</c:f>
              <c:strCache>
                <c:ptCount val="1"/>
                <c:pt idx="0">
                  <c:v>2017年支出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一般公共预算支出累计完成!$B$1:$M$2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一般公共预算支出累计完成!$B$3:$M$3</c:f>
              <c:numCache>
                <c:formatCode>General</c:formatCode>
                <c:ptCount val="12"/>
                <c:pt idx="0">
                  <c:v>20060</c:v>
                </c:pt>
                <c:pt idx="1">
                  <c:v>27820</c:v>
                </c:pt>
                <c:pt idx="2">
                  <c:v>49308</c:v>
                </c:pt>
                <c:pt idx="3">
                  <c:v>72025</c:v>
                </c:pt>
                <c:pt idx="4">
                  <c:v>86019</c:v>
                </c:pt>
                <c:pt idx="5">
                  <c:v>141714</c:v>
                </c:pt>
                <c:pt idx="6">
                  <c:v>177118</c:v>
                </c:pt>
                <c:pt idx="7">
                  <c:v>196917</c:v>
                </c:pt>
                <c:pt idx="8">
                  <c:v>218318</c:v>
                </c:pt>
                <c:pt idx="9">
                  <c:v>232125</c:v>
                </c:pt>
                <c:pt idx="10">
                  <c:v>240423</c:v>
                </c:pt>
                <c:pt idx="11">
                  <c:v>290756</c:v>
                </c:pt>
              </c:numCache>
            </c:numRef>
          </c:val>
        </c:ser>
        <c:ser>
          <c:idx val="1"/>
          <c:order val="1"/>
          <c:tx>
            <c:strRef>
              <c:f>一般公共预算支出累计完成!$A$4</c:f>
              <c:strCache>
                <c:ptCount val="1"/>
                <c:pt idx="0">
                  <c:v>2018年支出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一般公共预算支出累计完成!$B$1:$M$2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一般公共预算支出累计完成!$B$4:$M$4</c:f>
              <c:numCache>
                <c:formatCode>General</c:formatCode>
                <c:ptCount val="12"/>
                <c:pt idx="0">
                  <c:v>10095</c:v>
                </c:pt>
                <c:pt idx="1">
                  <c:v>25914</c:v>
                </c:pt>
                <c:pt idx="2">
                  <c:v>54248</c:v>
                </c:pt>
                <c:pt idx="3">
                  <c:v>65177</c:v>
                </c:pt>
                <c:pt idx="4">
                  <c:v>78828</c:v>
                </c:pt>
                <c:pt idx="5">
                  <c:v>126648</c:v>
                </c:pt>
                <c:pt idx="6">
                  <c:v>170035</c:v>
                </c:pt>
                <c:pt idx="7">
                  <c:v>203244</c:v>
                </c:pt>
                <c:pt idx="8">
                  <c:v>234135</c:v>
                </c:pt>
                <c:pt idx="9">
                  <c:v>247798</c:v>
                </c:pt>
                <c:pt idx="10">
                  <c:v>254894</c:v>
                </c:pt>
                <c:pt idx="11">
                  <c:v>311481</c:v>
                </c:pt>
              </c:numCache>
            </c:numRef>
          </c:val>
        </c:ser>
        <c:ser>
          <c:idx val="2"/>
          <c:order val="2"/>
          <c:tx>
            <c:strRef>
              <c:f>一般公共预算支出累计完成!$A$5</c:f>
              <c:strCache>
                <c:ptCount val="1"/>
                <c:pt idx="0">
                  <c:v>2019年支出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一般公共预算支出累计完成!$B$1:$M$2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一般公共预算支出累计完成!$B$5:$M$5</c:f>
              <c:numCache>
                <c:formatCode>General</c:formatCode>
                <c:ptCount val="12"/>
                <c:pt idx="0">
                  <c:v>23166</c:v>
                </c:pt>
                <c:pt idx="1">
                  <c:v>48310</c:v>
                </c:pt>
                <c:pt idx="2">
                  <c:v>93751</c:v>
                </c:pt>
                <c:pt idx="3">
                  <c:v>99212</c:v>
                </c:pt>
                <c:pt idx="4">
                  <c:v>123744</c:v>
                </c:pt>
                <c:pt idx="5">
                  <c:v>162175</c:v>
                </c:pt>
              </c:numCache>
            </c:numRef>
          </c:val>
        </c:ser>
        <c:gapWidth val="219"/>
        <c:overlap val="-27"/>
        <c:axId val="118524928"/>
        <c:axId val="118526720"/>
      </c:barChart>
      <c:catAx>
        <c:axId val="118524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526720"/>
        <c:crosses val="autoZero"/>
        <c:auto val="1"/>
        <c:lblAlgn val="ctr"/>
        <c:lblOffset val="100"/>
        <c:tickMarkSkip val="1"/>
      </c:catAx>
      <c:valAx>
        <c:axId val="118526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524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全市一般公共预算支出增长情况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一般公共预算支出累计完成增长率!$A$4</c:f>
              <c:strCache>
                <c:ptCount val="1"/>
                <c:pt idx="0">
                  <c:v>2017年增长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一般公共预算支出累计完成增长率!$B$1:$M$3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一般公共预算支出累计完成增长率!$B$4:$M$4</c:f>
              <c:numCache>
                <c:formatCode>0.0_ </c:formatCode>
                <c:ptCount val="12"/>
                <c:pt idx="0">
                  <c:v>247.7</c:v>
                </c:pt>
                <c:pt idx="1">
                  <c:v>29.3</c:v>
                </c:pt>
                <c:pt idx="2">
                  <c:v>20.3</c:v>
                </c:pt>
                <c:pt idx="3">
                  <c:v>1.6</c:v>
                </c:pt>
                <c:pt idx="4">
                  <c:v>4.3</c:v>
                </c:pt>
                <c:pt idx="5">
                  <c:v>11.1</c:v>
                </c:pt>
                <c:pt idx="6">
                  <c:v>26</c:v>
                </c:pt>
                <c:pt idx="7">
                  <c:v>16.399999999999999</c:v>
                </c:pt>
                <c:pt idx="8">
                  <c:v>3.6</c:v>
                </c:pt>
                <c:pt idx="9">
                  <c:v>8.8000000000000007</c:v>
                </c:pt>
                <c:pt idx="10">
                  <c:v>4.4000000000000004</c:v>
                </c:pt>
                <c:pt idx="11">
                  <c:v>6</c:v>
                </c:pt>
              </c:numCache>
            </c:numRef>
          </c:val>
        </c:ser>
        <c:ser>
          <c:idx val="1"/>
          <c:order val="1"/>
          <c:tx>
            <c:strRef>
              <c:f>一般公共预算支出累计完成增长率!$A$5</c:f>
              <c:strCache>
                <c:ptCount val="1"/>
                <c:pt idx="0">
                  <c:v>2018年增长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一般公共预算支出累计完成增长率!$B$1:$M$3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一般公共预算支出累计完成增长率!$B$5:$M$5</c:f>
              <c:numCache>
                <c:formatCode>0.0_ </c:formatCode>
                <c:ptCount val="12"/>
                <c:pt idx="0">
                  <c:v>-49.7</c:v>
                </c:pt>
                <c:pt idx="1">
                  <c:v>-6.9</c:v>
                </c:pt>
                <c:pt idx="2">
                  <c:v>10</c:v>
                </c:pt>
                <c:pt idx="3">
                  <c:v>-9.5</c:v>
                </c:pt>
                <c:pt idx="4">
                  <c:v>-8.4</c:v>
                </c:pt>
                <c:pt idx="5">
                  <c:v>-10.6</c:v>
                </c:pt>
                <c:pt idx="6">
                  <c:v>-4</c:v>
                </c:pt>
                <c:pt idx="7">
                  <c:v>3.2</c:v>
                </c:pt>
                <c:pt idx="8">
                  <c:v>7.2</c:v>
                </c:pt>
                <c:pt idx="9">
                  <c:v>6.8</c:v>
                </c:pt>
                <c:pt idx="10">
                  <c:v>6</c:v>
                </c:pt>
                <c:pt idx="11">
                  <c:v>7.1</c:v>
                </c:pt>
              </c:numCache>
            </c:numRef>
          </c:val>
        </c:ser>
        <c:ser>
          <c:idx val="2"/>
          <c:order val="2"/>
          <c:tx>
            <c:strRef>
              <c:f>一般公共预算支出累计完成增长率!$A$6</c:f>
              <c:strCache>
                <c:ptCount val="1"/>
                <c:pt idx="0">
                  <c:v>2019年增长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一般公共预算支出累计完成增长率!$B$1:$M$3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一般公共预算支出累计完成增长率!$B$6:$M$6</c:f>
              <c:numCache>
                <c:formatCode>0.0_ </c:formatCode>
                <c:ptCount val="12"/>
                <c:pt idx="0">
                  <c:v>129.5</c:v>
                </c:pt>
                <c:pt idx="1">
                  <c:v>86.4</c:v>
                </c:pt>
                <c:pt idx="2">
                  <c:v>72.8</c:v>
                </c:pt>
                <c:pt idx="3">
                  <c:v>52.2</c:v>
                </c:pt>
                <c:pt idx="4">
                  <c:v>57</c:v>
                </c:pt>
                <c:pt idx="5">
                  <c:v>28.1</c:v>
                </c:pt>
              </c:numCache>
            </c:numRef>
          </c:val>
        </c:ser>
        <c:marker val="1"/>
        <c:axId val="118545024"/>
        <c:axId val="118551296"/>
      </c:lineChart>
      <c:catAx>
        <c:axId val="118545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551296"/>
        <c:crosses val="autoZero"/>
        <c:auto val="1"/>
        <c:lblAlgn val="ctr"/>
        <c:lblOffset val="100"/>
        <c:tickMarkSkip val="1"/>
      </c:catAx>
      <c:valAx>
        <c:axId val="11855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854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全市一般公共预算支出分月完成情况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一般公共预算支出分月完成!$A$4</c:f>
              <c:strCache>
                <c:ptCount val="1"/>
                <c:pt idx="0">
                  <c:v>2017年收入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一般公共预算支出分月完成!$B$1:$M$3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一般公共预算支出分月完成!$B$4:$M$4</c:f>
              <c:numCache>
                <c:formatCode>General</c:formatCode>
                <c:ptCount val="12"/>
                <c:pt idx="0">
                  <c:v>20060</c:v>
                </c:pt>
                <c:pt idx="1">
                  <c:v>7760</c:v>
                </c:pt>
                <c:pt idx="2">
                  <c:v>21488</c:v>
                </c:pt>
                <c:pt idx="3">
                  <c:v>22717</c:v>
                </c:pt>
                <c:pt idx="4">
                  <c:v>13994</c:v>
                </c:pt>
                <c:pt idx="5">
                  <c:v>55695</c:v>
                </c:pt>
                <c:pt idx="6">
                  <c:v>35404</c:v>
                </c:pt>
                <c:pt idx="7">
                  <c:v>19799</c:v>
                </c:pt>
                <c:pt idx="8">
                  <c:v>21401</c:v>
                </c:pt>
                <c:pt idx="9">
                  <c:v>13807</c:v>
                </c:pt>
                <c:pt idx="10">
                  <c:v>8298</c:v>
                </c:pt>
                <c:pt idx="11">
                  <c:v>33995</c:v>
                </c:pt>
              </c:numCache>
            </c:numRef>
          </c:val>
        </c:ser>
        <c:ser>
          <c:idx val="1"/>
          <c:order val="1"/>
          <c:tx>
            <c:strRef>
              <c:f>一般公共预算支出分月完成!$A$5</c:f>
              <c:strCache>
                <c:ptCount val="1"/>
                <c:pt idx="0">
                  <c:v>2018年收入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一般公共预算支出分月完成!$B$1:$M$3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一般公共预算支出分月完成!$B$5:$M$5</c:f>
              <c:numCache>
                <c:formatCode>General</c:formatCode>
                <c:ptCount val="12"/>
                <c:pt idx="0">
                  <c:v>10095</c:v>
                </c:pt>
                <c:pt idx="1">
                  <c:v>15819</c:v>
                </c:pt>
                <c:pt idx="2">
                  <c:v>28334</c:v>
                </c:pt>
                <c:pt idx="3">
                  <c:v>10929</c:v>
                </c:pt>
                <c:pt idx="4">
                  <c:v>13651</c:v>
                </c:pt>
                <c:pt idx="5">
                  <c:v>47820</c:v>
                </c:pt>
                <c:pt idx="6">
                  <c:v>43387</c:v>
                </c:pt>
                <c:pt idx="7">
                  <c:v>33209</c:v>
                </c:pt>
                <c:pt idx="8">
                  <c:v>30891</c:v>
                </c:pt>
                <c:pt idx="9">
                  <c:v>13663</c:v>
                </c:pt>
                <c:pt idx="10">
                  <c:v>7096</c:v>
                </c:pt>
                <c:pt idx="11">
                  <c:v>56587</c:v>
                </c:pt>
              </c:numCache>
            </c:numRef>
          </c:val>
        </c:ser>
        <c:ser>
          <c:idx val="2"/>
          <c:order val="2"/>
          <c:tx>
            <c:strRef>
              <c:f>一般公共预算支出分月完成!$A$6</c:f>
              <c:strCache>
                <c:ptCount val="1"/>
                <c:pt idx="0">
                  <c:v>2019年收入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一般公共预算支出分月完成!$B$1:$M$3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一般公共预算支出分月完成!$B$6:$M$6</c:f>
              <c:numCache>
                <c:formatCode>General</c:formatCode>
                <c:ptCount val="12"/>
                <c:pt idx="0">
                  <c:v>23166</c:v>
                </c:pt>
                <c:pt idx="1">
                  <c:v>25144</c:v>
                </c:pt>
                <c:pt idx="2">
                  <c:v>45441</c:v>
                </c:pt>
                <c:pt idx="3">
                  <c:v>5461</c:v>
                </c:pt>
                <c:pt idx="4">
                  <c:v>24532</c:v>
                </c:pt>
                <c:pt idx="5">
                  <c:v>38431</c:v>
                </c:pt>
              </c:numCache>
            </c:numRef>
          </c:val>
        </c:ser>
        <c:gapWidth val="219"/>
        <c:overlap val="-27"/>
        <c:axId val="119622656"/>
        <c:axId val="119640832"/>
      </c:barChart>
      <c:catAx>
        <c:axId val="119622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9640832"/>
        <c:crosses val="autoZero"/>
        <c:auto val="1"/>
        <c:lblAlgn val="ctr"/>
        <c:lblOffset val="100"/>
        <c:tickMarkSkip val="1"/>
      </c:catAx>
      <c:valAx>
        <c:axId val="119640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9622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 vertOverflow="ellipsis" anchor="ctr" anchorCtr="1"/>
          <a:lstStyle/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kern="1200" cap="none" spc="0" normalizeH="0" baseline="0">
                <a:solidFill>
                  <a:sysClr val="windowText" lastClr="000000"/>
                </a:solidFill>
                <a:effectLst/>
                <a:latin typeface="方正小标宋_GBK" charset="0"/>
                <a:ea typeface="方正小标宋_GBK" charset="0"/>
                <a:cs typeface="+mn-cs"/>
              </a:rPr>
              <a:t>全市一般公共预算支出分月增长情况</a:t>
            </a:r>
          </a:p>
          <a:p>
            <a:pPr algn="ctr" defTabSz="914400">
              <a:defRPr sz="1400" b="0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sz="1400" b="0" i="0" u="none" strike="noStrike" kern="1200" cap="none" spc="0" normalizeH="0" baseline="0">
              <a:solidFill>
                <a:sysClr val="windowText" lastClr="000000"/>
              </a:solidFill>
              <a:effectLst/>
              <a:latin typeface="方正小标宋_GBK" charset="0"/>
              <a:ea typeface="方正小标宋_GBK" charset="0"/>
              <a:cs typeface="+mn-cs"/>
            </a:endParaRPr>
          </a:p>
        </c:rich>
      </c:tx>
      <c:layout>
        <c:manualLayout>
          <c:xMode val="edge"/>
          <c:yMode val="edge"/>
          <c:x val="0.24679231814409558"/>
          <c:y val="2.6385224274406312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一般公共预算支出分月增长率!$A$4</c:f>
              <c:strCache>
                <c:ptCount val="1"/>
                <c:pt idx="0">
                  <c:v>2017年增长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一般公共预算支出分月增长率!$B$1:$M$3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一般公共预算支出分月增长率!$B$4:$M$4</c:f>
              <c:numCache>
                <c:formatCode>0.0_ </c:formatCode>
                <c:ptCount val="12"/>
                <c:pt idx="0">
                  <c:v>247.72057548968598</c:v>
                </c:pt>
                <c:pt idx="1">
                  <c:v>-50.864306971442957</c:v>
                </c:pt>
                <c:pt idx="2">
                  <c:v>10.26272577996721</c:v>
                </c:pt>
                <c:pt idx="3">
                  <c:v>-24.058969044594505</c:v>
                </c:pt>
                <c:pt idx="4">
                  <c:v>21.191651511215021</c:v>
                </c:pt>
                <c:pt idx="5">
                  <c:v>34.392645142609013</c:v>
                </c:pt>
                <c:pt idx="6">
                  <c:v>171.191114515511</c:v>
                </c:pt>
                <c:pt idx="7">
                  <c:v>-30.869413407821174</c:v>
                </c:pt>
                <c:pt idx="8">
                  <c:v>-48.533019094800601</c:v>
                </c:pt>
                <c:pt idx="9">
                  <c:v>442.72798742138394</c:v>
                </c:pt>
                <c:pt idx="10">
                  <c:v>-51.733364355514198</c:v>
                </c:pt>
                <c:pt idx="11">
                  <c:v>-28.359184017533501</c:v>
                </c:pt>
              </c:numCache>
            </c:numRef>
          </c:val>
        </c:ser>
        <c:ser>
          <c:idx val="1"/>
          <c:order val="1"/>
          <c:tx>
            <c:strRef>
              <c:f>一般公共预算支出分月增长率!$A$5</c:f>
              <c:strCache>
                <c:ptCount val="1"/>
                <c:pt idx="0">
                  <c:v>2018年增长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一般公共预算支出分月增长率!$B$1:$M$3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一般公共预算支出分月增长率!$B$5:$M$5</c:f>
              <c:numCache>
                <c:formatCode>0.0_ </c:formatCode>
                <c:ptCount val="12"/>
                <c:pt idx="0">
                  <c:v>-49.675972083748803</c:v>
                </c:pt>
                <c:pt idx="1">
                  <c:v>103.85309278350501</c:v>
                </c:pt>
                <c:pt idx="2">
                  <c:v>31.859642591213689</c:v>
                </c:pt>
                <c:pt idx="3">
                  <c:v>-51.89065457586824</c:v>
                </c:pt>
                <c:pt idx="4">
                  <c:v>-2.4510504501929398</c:v>
                </c:pt>
                <c:pt idx="5">
                  <c:v>-14.139509830325919</c:v>
                </c:pt>
                <c:pt idx="6">
                  <c:v>22.548299627160773</c:v>
                </c:pt>
                <c:pt idx="7">
                  <c:v>67.730693469367296</c:v>
                </c:pt>
                <c:pt idx="8">
                  <c:v>44.343722255969297</c:v>
                </c:pt>
                <c:pt idx="9">
                  <c:v>-1.0429492286521298</c:v>
                </c:pt>
                <c:pt idx="10">
                  <c:v>-14.4854181730537</c:v>
                </c:pt>
                <c:pt idx="11">
                  <c:v>66.456831887042199</c:v>
                </c:pt>
              </c:numCache>
            </c:numRef>
          </c:val>
        </c:ser>
        <c:ser>
          <c:idx val="2"/>
          <c:order val="2"/>
          <c:tx>
            <c:strRef>
              <c:f>一般公共预算支出分月增长率!$A$6</c:f>
              <c:strCache>
                <c:ptCount val="1"/>
                <c:pt idx="0">
                  <c:v>2019年增长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一般公共预算支出分月增长率!$B$1:$M$3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一般公共预算支出分月增长率!$B$6:$M$6</c:f>
              <c:numCache>
                <c:formatCode>0.0_ </c:formatCode>
                <c:ptCount val="12"/>
                <c:pt idx="0">
                  <c:v>129.479940564636</c:v>
                </c:pt>
                <c:pt idx="1">
                  <c:v>58.948100385612157</c:v>
                </c:pt>
                <c:pt idx="2">
                  <c:v>60.376226441730758</c:v>
                </c:pt>
                <c:pt idx="3">
                  <c:v>-50.032024887912897</c:v>
                </c:pt>
                <c:pt idx="4">
                  <c:v>79.7</c:v>
                </c:pt>
                <c:pt idx="5">
                  <c:v>-19.600000000000001</c:v>
                </c:pt>
              </c:numCache>
            </c:numRef>
          </c:val>
        </c:ser>
        <c:marker val="1"/>
        <c:axId val="119720576"/>
        <c:axId val="120296192"/>
      </c:lineChart>
      <c:catAx>
        <c:axId val="11972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0296192"/>
        <c:crosses val="autoZero"/>
        <c:auto val="1"/>
        <c:lblAlgn val="ctr"/>
        <c:lblOffset val="100"/>
        <c:tickMarkSkip val="1"/>
      </c:catAx>
      <c:valAx>
        <c:axId val="120296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horzOverflow="overflow" vert="horz" wrap="square" anchor="ctr" anchorCtr="1"/>
          <a:lstStyle/>
          <a:p>
            <a:pPr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9720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 rtl="0">
              <a:defRPr sz="900" kern="120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kern="1200">
          <a:solidFill>
            <a:schemeClr val="tx1"/>
          </a:solidFill>
          <a:latin typeface="+mn-lt"/>
          <a:ea typeface="+mn-ea"/>
          <a:cs typeface="+mn-cs"/>
        </a:defRPr>
      </a:pPr>
      <a:endParaRPr lang="zh-CN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0.69347</cdr:x>
      <cdr:y>0.14259</cdr:y>
    </cdr:from>
    <cdr:to>
      <cdr:x>0.97319</cdr:x>
      <cdr:y>0.21898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3170555" y="391160"/>
          <a:ext cx="127889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endParaRPr lang="en-US" altLang="zh-CN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0.73646</cdr:x>
      <cdr:y>0.13112</cdr:y>
    </cdr:from>
    <cdr:to>
      <cdr:x>0.94361</cdr:x>
      <cdr:y>0.20729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196715" y="360680"/>
          <a:ext cx="118046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endParaRPr lang="zh-CN" altLang="en-US" sz="1000">
            <a:solidFill>
              <a:sysClr val="windowText" lastClr="0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0.79116</cdr:x>
      <cdr:y>0.13006</cdr:y>
    </cdr:from>
    <cdr:to>
      <cdr:x>0.98394</cdr:x>
      <cdr:y>0.20758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503420" y="383540"/>
          <a:ext cx="109728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增长率：</a:t>
          </a:r>
          <a:r>
            <a:rPr lang="en-US" altLang="zh-CN" sz="1000"/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0.73526</cdr:x>
      <cdr:y>0.11259</cdr:y>
    </cdr:from>
    <cdr:to>
      <cdr:x>0.93316</cdr:x>
      <cdr:y>0.20833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274820" y="322580"/>
          <a:ext cx="11506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单位：万元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0.76294</cdr:x>
      <cdr:y>0.0985</cdr:y>
    </cdr:from>
    <cdr:to>
      <cdr:x>0.96509</cdr:x>
      <cdr:y>0.17502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371340" y="284480"/>
          <a:ext cx="115824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增长率：</a:t>
          </a:r>
          <a:r>
            <a:rPr lang="en-US" altLang="zh-CN" sz="1000"/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0.77213</cdr:x>
      <cdr:y>0.14537</cdr:y>
    </cdr:from>
    <cdr:to>
      <cdr:x>0.9854</cdr:x>
      <cdr:y>0.22315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165600" y="398780"/>
          <a:ext cx="1150620" cy="213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endParaRPr lang="zh-CN" altLang="en-US" sz="10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0.77242</cdr:x>
      <cdr:y>0.09905</cdr:y>
    </cdr:from>
    <cdr:to>
      <cdr:x>0.9826</cdr:x>
      <cdr:y>0.18691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396740" y="292100"/>
          <a:ext cx="119634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增长率：</a:t>
          </a:r>
          <a:r>
            <a:rPr lang="en-US" altLang="zh-CN" sz="1000"/>
            <a:t>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0.75727</cdr:x>
      <cdr:y>0.09663</cdr:y>
    </cdr:from>
    <cdr:to>
      <cdr:x>0.9646</cdr:x>
      <cdr:y>0.18174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564380" y="276860"/>
          <a:ext cx="1249680" cy="243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单位：万元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0.76161</cdr:x>
      <cdr:y>0.09587</cdr:y>
    </cdr:from>
    <cdr:to>
      <cdr:x>0.97706</cdr:x>
      <cdr:y>0.18821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363720" y="276860"/>
          <a:ext cx="123444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horzOverflow="clip" wrap="square" rtlCol="0" anchor="t"/>
        <a:lstStyle xmlns:a="http://schemas.openxmlformats.org/drawingml/2006/main"/>
        <a:p xmlns:a="http://schemas.openxmlformats.org/drawingml/2006/main">
          <a:r>
            <a:rPr lang="zh-CN" altLang="en-US" sz="1000"/>
            <a:t>增长率：</a:t>
          </a:r>
          <a:r>
            <a:rPr lang="en-US" altLang="zh-CN" sz="10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23</cp:revision>
  <dcterms:created xsi:type="dcterms:W3CDTF">2019-05-06T07:24:00Z</dcterms:created>
  <dcterms:modified xsi:type="dcterms:W3CDTF">2019-07-10T01:20:00Z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